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5"/>
        <w:gridCol w:w="396"/>
        <w:gridCol w:w="4108"/>
        <w:gridCol w:w="4077"/>
      </w:tblGrid>
      <w:tr w:rsidR="00EF7A94" w:rsidRPr="00171039" w14:paraId="006F0CF7" w14:textId="77777777" w:rsidTr="00A864F3">
        <w:trPr>
          <w:trHeight w:val="1230"/>
        </w:trPr>
        <w:tc>
          <w:tcPr>
            <w:tcW w:w="1101" w:type="dxa"/>
            <w:gridSpan w:val="2"/>
            <w:noWrap/>
            <w:hideMark/>
          </w:tcPr>
          <w:p w14:paraId="0169840D" w14:textId="77777777" w:rsidR="00EF7A94" w:rsidRPr="00171039" w:rsidRDefault="00EF7A94">
            <w:pPr>
              <w:rPr>
                <w:rFonts w:ascii="Times New Roman" w:hAnsi="Times New Roman" w:cs="Times New Roman"/>
              </w:rPr>
            </w:pPr>
            <w:r w:rsidRPr="00171039">
              <w:rPr>
                <w:rFonts w:ascii="Times New Roman" w:hAnsi="Times New Roman" w:cs="Times New Roman"/>
                <w:noProof/>
                <w:lang w:eastAsia="hr-HR"/>
              </w:rPr>
              <w:drawing>
                <wp:anchor distT="0" distB="0" distL="114300" distR="114300" simplePos="0" relativeHeight="251662336" behindDoc="0" locked="0" layoutInCell="1" allowOverlap="1" wp14:anchorId="59062229" wp14:editId="5B597594">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EF7A94" w:rsidRPr="00171039" w14:paraId="1A2F2A03" w14:textId="77777777">
              <w:trPr>
                <w:trHeight w:val="1230"/>
                <w:tblCellSpacing w:w="0" w:type="dxa"/>
              </w:trPr>
              <w:tc>
                <w:tcPr>
                  <w:tcW w:w="920" w:type="dxa"/>
                  <w:tcBorders>
                    <w:top w:val="nil"/>
                    <w:left w:val="nil"/>
                    <w:bottom w:val="nil"/>
                    <w:right w:val="nil"/>
                  </w:tcBorders>
                  <w:shd w:val="clear" w:color="auto" w:fill="auto"/>
                  <w:vAlign w:val="center"/>
                  <w:hideMark/>
                </w:tcPr>
                <w:p w14:paraId="47FB9926" w14:textId="77777777" w:rsidR="00EF7A94" w:rsidRPr="00171039" w:rsidRDefault="00EF7A94">
                  <w:pPr>
                    <w:rPr>
                      <w:rFonts w:ascii="Times New Roman" w:hAnsi="Times New Roman" w:cs="Times New Roman"/>
                    </w:rPr>
                  </w:pPr>
                  <w:bookmarkStart w:id="0" w:name="RANGE!A1:C15"/>
                  <w:bookmarkEnd w:id="0"/>
                  <w:r w:rsidRPr="00171039">
                    <w:rPr>
                      <w:rFonts w:ascii="Times New Roman" w:hAnsi="Times New Roman" w:cs="Times New Roman"/>
                      <w:noProof/>
                      <w:lang w:eastAsia="hr-HR"/>
                    </w:rPr>
                    <w:drawing>
                      <wp:anchor distT="0" distB="0" distL="114300" distR="114300" simplePos="0" relativeHeight="251663360" behindDoc="0" locked="0" layoutInCell="1" allowOverlap="1" wp14:anchorId="1200A42E" wp14:editId="3DA74464">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6B86EA" w14:textId="77777777" w:rsidR="00EF7A94" w:rsidRPr="00171039" w:rsidRDefault="00EF7A94">
            <w:pPr>
              <w:rPr>
                <w:rFonts w:ascii="Times New Roman" w:hAnsi="Times New Roman" w:cs="Times New Roman"/>
              </w:rPr>
            </w:pPr>
          </w:p>
        </w:tc>
        <w:tc>
          <w:tcPr>
            <w:tcW w:w="8185" w:type="dxa"/>
            <w:gridSpan w:val="2"/>
            <w:hideMark/>
          </w:tcPr>
          <w:p w14:paraId="1E237FF9" w14:textId="77777777" w:rsidR="00EF7A94" w:rsidRPr="00EF7A94" w:rsidRDefault="00EF7A94">
            <w:pPr>
              <w:rPr>
                <w:rFonts w:ascii="Times New Roman" w:hAnsi="Times New Roman" w:cs="Times New Roman"/>
                <w:iCs/>
              </w:rPr>
            </w:pPr>
            <w:r w:rsidRPr="00EF7A94">
              <w:rPr>
                <w:rFonts w:ascii="Times New Roman" w:hAnsi="Times New Roman" w:cs="Times New Roman"/>
                <w:iCs/>
              </w:rPr>
              <w:t xml:space="preserve">REPUBLIKA HRVATSKA                            </w:t>
            </w:r>
          </w:p>
          <w:p w14:paraId="52F13970" w14:textId="77777777" w:rsidR="00EF7A94" w:rsidRPr="00EF7A94" w:rsidRDefault="00EF7A94">
            <w:pPr>
              <w:rPr>
                <w:rFonts w:ascii="Times New Roman" w:hAnsi="Times New Roman" w:cs="Times New Roman"/>
                <w:iCs/>
              </w:rPr>
            </w:pPr>
            <w:r w:rsidRPr="00EF7A94">
              <w:rPr>
                <w:rFonts w:ascii="Times New Roman" w:hAnsi="Times New Roman" w:cs="Times New Roman"/>
                <w:b/>
                <w:bCs/>
                <w:iCs/>
              </w:rPr>
              <w:t xml:space="preserve">GRAD ZAGREB         </w:t>
            </w:r>
            <w:r w:rsidRPr="00EF7A94">
              <w:rPr>
                <w:rFonts w:ascii="Times New Roman" w:hAnsi="Times New Roman" w:cs="Times New Roman"/>
                <w:iCs/>
              </w:rPr>
              <w:t xml:space="preserve">                                      </w:t>
            </w:r>
          </w:p>
          <w:p w14:paraId="0B35708E" w14:textId="77777777" w:rsidR="00EF7A94" w:rsidRPr="00EF7A94" w:rsidRDefault="00EF7A94">
            <w:pPr>
              <w:rPr>
                <w:rFonts w:ascii="Times New Roman" w:hAnsi="Times New Roman" w:cs="Times New Roman"/>
                <w:iCs/>
              </w:rPr>
            </w:pPr>
            <w:r w:rsidRPr="00EF7A94">
              <w:rPr>
                <w:rFonts w:ascii="Times New Roman" w:hAnsi="Times New Roman" w:cs="Times New Roman"/>
                <w:iCs/>
              </w:rPr>
              <w:t>URED ZA JAVNU NABAVU</w:t>
            </w:r>
          </w:p>
          <w:p w14:paraId="1C2BBC86" w14:textId="77777777" w:rsidR="00E73B51" w:rsidRDefault="00E73B51">
            <w:pPr>
              <w:rPr>
                <w:rFonts w:ascii="Times New Roman" w:hAnsi="Times New Roman" w:cs="Times New Roman"/>
                <w:iCs/>
              </w:rPr>
            </w:pPr>
          </w:p>
          <w:p w14:paraId="54EC185A" w14:textId="7EC020F2" w:rsidR="00EF7A94" w:rsidRPr="00171039" w:rsidRDefault="00EF7A94" w:rsidP="007F65AD">
            <w:pPr>
              <w:rPr>
                <w:rFonts w:ascii="Times New Roman" w:hAnsi="Times New Roman" w:cs="Times New Roman"/>
                <w:i/>
                <w:iCs/>
              </w:rPr>
            </w:pPr>
            <w:r w:rsidRPr="00EF7A94">
              <w:rPr>
                <w:rFonts w:ascii="Times New Roman" w:hAnsi="Times New Roman" w:cs="Times New Roman"/>
                <w:iCs/>
              </w:rPr>
              <w:t>U Zagrebu,</w:t>
            </w:r>
            <w:r w:rsidR="00503EDE">
              <w:rPr>
                <w:rFonts w:ascii="Times New Roman" w:hAnsi="Times New Roman" w:cs="Times New Roman"/>
                <w:iCs/>
              </w:rPr>
              <w:t xml:space="preserve"> </w:t>
            </w:r>
            <w:r w:rsidR="007F65AD">
              <w:rPr>
                <w:rFonts w:ascii="Times New Roman" w:hAnsi="Times New Roman" w:cs="Times New Roman"/>
                <w:iCs/>
              </w:rPr>
              <w:t>03</w:t>
            </w:r>
            <w:r w:rsidR="00EB1383">
              <w:rPr>
                <w:rFonts w:ascii="Times New Roman" w:hAnsi="Times New Roman" w:cs="Times New Roman"/>
                <w:iCs/>
              </w:rPr>
              <w:t>.</w:t>
            </w:r>
            <w:r w:rsidR="007F65AD">
              <w:rPr>
                <w:rFonts w:ascii="Times New Roman" w:hAnsi="Times New Roman" w:cs="Times New Roman"/>
                <w:iCs/>
              </w:rPr>
              <w:t>studenoga</w:t>
            </w:r>
            <w:r w:rsidR="00E73B51">
              <w:rPr>
                <w:rFonts w:ascii="Times New Roman" w:hAnsi="Times New Roman" w:cs="Times New Roman"/>
                <w:iCs/>
              </w:rPr>
              <w:t xml:space="preserve"> 2017.</w:t>
            </w:r>
          </w:p>
        </w:tc>
      </w:tr>
      <w:tr w:rsidR="00171039" w:rsidRPr="00171039" w14:paraId="24326BBD" w14:textId="77777777" w:rsidTr="00A864F3">
        <w:trPr>
          <w:trHeight w:val="1230"/>
        </w:trPr>
        <w:tc>
          <w:tcPr>
            <w:tcW w:w="9286" w:type="dxa"/>
            <w:gridSpan w:val="4"/>
            <w:vAlign w:val="center"/>
            <w:hideMark/>
          </w:tcPr>
          <w:p w14:paraId="3F511228" w14:textId="698C06B5" w:rsidR="00A97147" w:rsidRPr="00171039" w:rsidRDefault="00105BC9" w:rsidP="00530FCF">
            <w:pPr>
              <w:jc w:val="center"/>
              <w:rPr>
                <w:rFonts w:ascii="Times New Roman" w:hAnsi="Times New Roman" w:cs="Times New Roman"/>
              </w:rPr>
            </w:pPr>
            <w:r w:rsidRPr="00105BC9">
              <w:rPr>
                <w:rFonts w:ascii="Times New Roman" w:hAnsi="Times New Roman" w:cs="Times New Roman"/>
              </w:rPr>
              <w:t>Na temelju članka 198. Zakona o javnoj nabavi (NN br. 120/2016), Grad Zagreb kao Središnje tijelo za javnu nabavu</w:t>
            </w:r>
            <w:r w:rsidR="0077467E">
              <w:rPr>
                <w:rFonts w:ascii="Times New Roman" w:hAnsi="Times New Roman" w:cs="Times New Roman"/>
              </w:rPr>
              <w:t>,</w:t>
            </w:r>
            <w:r w:rsidRPr="00105BC9">
              <w:rPr>
                <w:rFonts w:ascii="Times New Roman" w:hAnsi="Times New Roman" w:cs="Times New Roman"/>
              </w:rPr>
              <w:t xml:space="preserve"> a za naručitelj</w:t>
            </w:r>
            <w:r w:rsidR="00BF4234">
              <w:rPr>
                <w:rFonts w:ascii="Times New Roman" w:hAnsi="Times New Roman" w:cs="Times New Roman"/>
              </w:rPr>
              <w:t>a</w:t>
            </w:r>
            <w:r w:rsidRPr="00105BC9">
              <w:rPr>
                <w:rFonts w:ascii="Times New Roman" w:hAnsi="Times New Roman" w:cs="Times New Roman"/>
              </w:rPr>
              <w:t xml:space="preserve"> </w:t>
            </w:r>
            <w:r w:rsidR="00472AF2" w:rsidRPr="00472AF2">
              <w:rPr>
                <w:rFonts w:ascii="Times New Roman" w:hAnsi="Times New Roman" w:cs="Times New Roman"/>
              </w:rPr>
              <w:t xml:space="preserve">Zagrebački holding d.o.o., Ulica grada Vukovara 41, Zagreb, </w:t>
            </w:r>
            <w:r w:rsidR="0077467E" w:rsidRPr="0077467E">
              <w:rPr>
                <w:rFonts w:ascii="Times New Roman" w:hAnsi="Times New Roman" w:cs="Times New Roman"/>
              </w:rPr>
              <w:t xml:space="preserve"> </w:t>
            </w:r>
            <w:r w:rsidRPr="00105BC9">
              <w:rPr>
                <w:rFonts w:ascii="Times New Roman" w:hAnsi="Times New Roman" w:cs="Times New Roman"/>
              </w:rPr>
              <w:t>a nastavno na Nacrt Dokumentacije o nabavi za predmet nabave</w:t>
            </w:r>
            <w:r w:rsidR="00503EDE">
              <w:rPr>
                <w:rFonts w:ascii="Times New Roman" w:hAnsi="Times New Roman" w:cs="Times New Roman"/>
              </w:rPr>
              <w:t xml:space="preserve"> </w:t>
            </w:r>
            <w:r w:rsidR="00530FCF">
              <w:rPr>
                <w:rFonts w:ascii="Times New Roman" w:eastAsia="Times New Roman" w:hAnsi="Times New Roman" w:cs="Times New Roman"/>
                <w:b/>
                <w:color w:val="000000"/>
                <w:sz w:val="24"/>
                <w:szCs w:val="24"/>
                <w:shd w:val="clear" w:color="auto" w:fill="FFFFFF"/>
                <w:lang w:eastAsia="hr-HR"/>
              </w:rPr>
              <w:t>Elektro vozila za prijevoz putnika</w:t>
            </w:r>
            <w:r w:rsidRPr="00105BC9">
              <w:rPr>
                <w:rFonts w:ascii="Times New Roman" w:hAnsi="Times New Roman" w:cs="Times New Roman"/>
              </w:rPr>
              <w:t xml:space="preserve">, evidencijski broj: </w:t>
            </w:r>
            <w:r w:rsidRPr="00105BC9">
              <w:rPr>
                <w:rFonts w:ascii="Times New Roman" w:hAnsi="Times New Roman" w:cs="Times New Roman"/>
                <w:b/>
              </w:rPr>
              <w:t>2017-</w:t>
            </w:r>
            <w:r w:rsidR="00BF4234">
              <w:rPr>
                <w:rFonts w:ascii="Times New Roman" w:hAnsi="Times New Roman" w:cs="Times New Roman"/>
                <w:b/>
              </w:rPr>
              <w:t>2</w:t>
            </w:r>
            <w:r w:rsidR="00530FCF">
              <w:rPr>
                <w:rFonts w:ascii="Times New Roman" w:hAnsi="Times New Roman" w:cs="Times New Roman"/>
                <w:b/>
              </w:rPr>
              <w:t>822</w:t>
            </w:r>
            <w:r w:rsidRPr="00105BC9">
              <w:rPr>
                <w:rFonts w:ascii="Times New Roman" w:hAnsi="Times New Roman" w:cs="Times New Roman"/>
              </w:rPr>
              <w:t xml:space="preserve"> objavljuje</w:t>
            </w:r>
          </w:p>
        </w:tc>
      </w:tr>
      <w:tr w:rsidR="00171039" w:rsidRPr="00171039" w14:paraId="0DFE6D03" w14:textId="77777777" w:rsidTr="00A864F3">
        <w:trPr>
          <w:trHeight w:val="677"/>
        </w:trPr>
        <w:tc>
          <w:tcPr>
            <w:tcW w:w="9286" w:type="dxa"/>
            <w:gridSpan w:val="4"/>
            <w:vAlign w:val="center"/>
            <w:hideMark/>
          </w:tcPr>
          <w:p w14:paraId="3D5C037B" w14:textId="77777777" w:rsidR="00171039" w:rsidRPr="00171039" w:rsidRDefault="00171039" w:rsidP="00171039">
            <w:pPr>
              <w:jc w:val="center"/>
              <w:rPr>
                <w:rFonts w:ascii="Times New Roman" w:hAnsi="Times New Roman" w:cs="Times New Roman"/>
                <w:b/>
                <w:bCs/>
              </w:rPr>
            </w:pPr>
            <w:r w:rsidRPr="00171039">
              <w:rPr>
                <w:rFonts w:ascii="Times New Roman" w:hAnsi="Times New Roman" w:cs="Times New Roman"/>
                <w:b/>
                <w:bCs/>
              </w:rPr>
              <w:t>Izvješće o prethodnom savjetovanju u odnosu na Nacrt Dokumentacije o nabavi</w:t>
            </w:r>
          </w:p>
        </w:tc>
      </w:tr>
      <w:tr w:rsidR="00CB72C6" w:rsidRPr="00171039" w14:paraId="52498363" w14:textId="77777777" w:rsidTr="00A864F3">
        <w:trPr>
          <w:trHeight w:val="795"/>
        </w:trPr>
        <w:tc>
          <w:tcPr>
            <w:tcW w:w="705" w:type="dxa"/>
            <w:noWrap/>
            <w:vAlign w:val="center"/>
            <w:hideMark/>
          </w:tcPr>
          <w:p w14:paraId="74A8D212"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R.br.</w:t>
            </w:r>
          </w:p>
        </w:tc>
        <w:tc>
          <w:tcPr>
            <w:tcW w:w="4504" w:type="dxa"/>
            <w:gridSpan w:val="2"/>
            <w:vAlign w:val="center"/>
            <w:hideMark/>
          </w:tcPr>
          <w:p w14:paraId="0B8FEF68"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Primjedbe i prijedlozi gospodarskih subjekata</w:t>
            </w:r>
          </w:p>
        </w:tc>
        <w:tc>
          <w:tcPr>
            <w:tcW w:w="4077" w:type="dxa"/>
            <w:vAlign w:val="center"/>
            <w:hideMark/>
          </w:tcPr>
          <w:p w14:paraId="2BE02DCB"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Izvješće o prihvaćenim i neprihvaćenim primjedbama i prijedlozima</w:t>
            </w:r>
          </w:p>
        </w:tc>
      </w:tr>
      <w:tr w:rsidR="00CB72C6" w:rsidRPr="00171039" w14:paraId="59BB25E7" w14:textId="77777777" w:rsidTr="00A864F3">
        <w:trPr>
          <w:trHeight w:val="1965"/>
        </w:trPr>
        <w:tc>
          <w:tcPr>
            <w:tcW w:w="705" w:type="dxa"/>
            <w:vMerge w:val="restart"/>
            <w:noWrap/>
          </w:tcPr>
          <w:p w14:paraId="6942411B" w14:textId="16DE8B63" w:rsidR="00CB72C6" w:rsidRPr="00171039" w:rsidRDefault="00EF3B04" w:rsidP="00EF3B04">
            <w:pPr>
              <w:rPr>
                <w:rFonts w:ascii="Times New Roman" w:hAnsi="Times New Roman" w:cs="Times New Roman"/>
              </w:rPr>
            </w:pPr>
            <w:r>
              <w:rPr>
                <w:rFonts w:ascii="Times New Roman" w:hAnsi="Times New Roman" w:cs="Times New Roman"/>
              </w:rPr>
              <w:t>1.</w:t>
            </w:r>
          </w:p>
        </w:tc>
        <w:tc>
          <w:tcPr>
            <w:tcW w:w="4504" w:type="dxa"/>
            <w:gridSpan w:val="2"/>
            <w:vMerge w:val="restart"/>
          </w:tcPr>
          <w:p w14:paraId="1AD2C75A" w14:textId="77777777" w:rsidR="00530FCF" w:rsidRPr="00530FCF" w:rsidRDefault="00530FCF" w:rsidP="00530FCF">
            <w:pPr>
              <w:jc w:val="both"/>
              <w:rPr>
                <w:rFonts w:ascii="Times New Roman" w:hAnsi="Times New Roman" w:cs="Times New Roman"/>
              </w:rPr>
            </w:pPr>
            <w:r w:rsidRPr="00530FCF">
              <w:rPr>
                <w:rFonts w:ascii="Times New Roman" w:hAnsi="Times New Roman" w:cs="Times New Roman"/>
              </w:rPr>
              <w:t xml:space="preserve">    Baterije </w:t>
            </w:r>
            <w:proofErr w:type="spellStart"/>
            <w:r w:rsidRPr="00530FCF">
              <w:rPr>
                <w:rFonts w:ascii="Times New Roman" w:hAnsi="Times New Roman" w:cs="Times New Roman"/>
              </w:rPr>
              <w:t>elektrovozila</w:t>
            </w:r>
            <w:proofErr w:type="spellEnd"/>
          </w:p>
          <w:p w14:paraId="2336940D" w14:textId="77777777" w:rsidR="00530FCF" w:rsidRPr="00530FCF" w:rsidRDefault="00530FCF" w:rsidP="00530FCF">
            <w:pPr>
              <w:jc w:val="both"/>
              <w:rPr>
                <w:rFonts w:ascii="Times New Roman" w:hAnsi="Times New Roman" w:cs="Times New Roman"/>
              </w:rPr>
            </w:pPr>
          </w:p>
          <w:p w14:paraId="7FDA6DB7" w14:textId="77777777" w:rsidR="00530FCF" w:rsidRPr="00530FCF" w:rsidRDefault="00530FCF" w:rsidP="00530FCF">
            <w:pPr>
              <w:jc w:val="both"/>
              <w:rPr>
                <w:rFonts w:ascii="Times New Roman" w:hAnsi="Times New Roman" w:cs="Times New Roman"/>
              </w:rPr>
            </w:pPr>
            <w:r w:rsidRPr="00530FCF">
              <w:rPr>
                <w:rFonts w:ascii="Times New Roman" w:hAnsi="Times New Roman" w:cs="Times New Roman"/>
              </w:rPr>
              <w:t xml:space="preserve">U tablici u Poglavlju 4 „Opis predmeta nabave“, pod minimalnim tehničkim karakteristikama baterija NIJE NAVEDENO o kojoj </w:t>
            </w:r>
            <w:bookmarkStart w:id="1" w:name="_GoBack"/>
            <w:bookmarkEnd w:id="1"/>
            <w:r w:rsidRPr="00530FCF">
              <w:rPr>
                <w:rFonts w:ascii="Times New Roman" w:hAnsi="Times New Roman" w:cs="Times New Roman"/>
              </w:rPr>
              <w:t>je vrsti baterija riječ.</w:t>
            </w:r>
          </w:p>
          <w:p w14:paraId="7F77C011" w14:textId="77777777" w:rsidR="00530FCF" w:rsidRPr="00530FCF" w:rsidRDefault="00530FCF" w:rsidP="00530FCF">
            <w:pPr>
              <w:jc w:val="both"/>
              <w:rPr>
                <w:rFonts w:ascii="Times New Roman" w:hAnsi="Times New Roman" w:cs="Times New Roman"/>
              </w:rPr>
            </w:pPr>
          </w:p>
          <w:p w14:paraId="30105B84" w14:textId="77777777" w:rsidR="00530FCF" w:rsidRPr="00530FCF" w:rsidRDefault="00530FCF" w:rsidP="00530FCF">
            <w:pPr>
              <w:jc w:val="both"/>
              <w:rPr>
                <w:rFonts w:ascii="Times New Roman" w:hAnsi="Times New Roman" w:cs="Times New Roman"/>
              </w:rPr>
            </w:pPr>
            <w:r w:rsidRPr="00530FCF">
              <w:rPr>
                <w:rFonts w:ascii="Times New Roman" w:hAnsi="Times New Roman" w:cs="Times New Roman"/>
              </w:rPr>
              <w:t>Obrazloženje</w:t>
            </w:r>
          </w:p>
          <w:p w14:paraId="7E939CDC" w14:textId="77777777" w:rsidR="00530FCF" w:rsidRPr="00530FCF" w:rsidRDefault="00530FCF" w:rsidP="00530FCF">
            <w:pPr>
              <w:jc w:val="both"/>
              <w:rPr>
                <w:rFonts w:ascii="Times New Roman" w:hAnsi="Times New Roman" w:cs="Times New Roman"/>
              </w:rPr>
            </w:pPr>
          </w:p>
          <w:p w14:paraId="7FF58FD1" w14:textId="77777777" w:rsidR="00530FCF" w:rsidRPr="00530FCF" w:rsidRDefault="00530FCF" w:rsidP="00530FCF">
            <w:pPr>
              <w:jc w:val="both"/>
              <w:rPr>
                <w:rFonts w:ascii="Times New Roman" w:hAnsi="Times New Roman" w:cs="Times New Roman"/>
              </w:rPr>
            </w:pPr>
            <w:r w:rsidRPr="00530FCF">
              <w:rPr>
                <w:rFonts w:ascii="Times New Roman" w:hAnsi="Times New Roman" w:cs="Times New Roman"/>
              </w:rPr>
              <w:t xml:space="preserve">Premda se iz pripadajućeg tehničkog opisa navedenog u koloni „Traženo“ može pretpostaviti da je riječ o konvencionalnim olovnim baterijama, to izrijekom nije navedeno, niti se navodi njihov tip i kapacitet za pohranu energije. Koristimo priliku istaknuti da instalacije s olovnim baterijama NE DOPUŠTAJU djelomično nadopunjavanje baterija već se baterijski set nadopunjava tek nakon njegovog potpunog pražnjenja nakon čega ga je potrebno u cijelosti ponovno napuniti. Budući da potpuni ciklus punjenja traje 6-8 sati (ovisno o tipu baterija i punjača), to može značiti potpunu operativnu neraspoloživost vozila u slučaju pražnjenja baterija tijekom dana. Uzevši u obzir zahtijevanu mogućnost savladavanja uspona (minimalno 20 stupnjeva) te očekivanu potrebu prijevoza izrazito velikog broja putnika tijekom ljetnih mjeseci ili, na primjer, adventskih svečanosti, intenzivnije pražnjenje baterija tijekom dana može se s pravom očekivati. S obzirom na navedeno, te uzevši u obzir dovoljan raspoloživi budžet nabave iskazan u Poglavlju 6 Dokumentacije, predlažemo isporuku vozila s ugrađenim tehnološki naprednijim </w:t>
            </w:r>
            <w:proofErr w:type="spellStart"/>
            <w:r w:rsidRPr="00530FCF">
              <w:rPr>
                <w:rFonts w:ascii="Times New Roman" w:hAnsi="Times New Roman" w:cs="Times New Roman"/>
              </w:rPr>
              <w:t>litijskim</w:t>
            </w:r>
            <w:proofErr w:type="spellEnd"/>
            <w:r w:rsidRPr="00530FCF">
              <w:rPr>
                <w:rFonts w:ascii="Times New Roman" w:hAnsi="Times New Roman" w:cs="Times New Roman"/>
              </w:rPr>
              <w:t xml:space="preserve"> baterijama koje, između ostalog, omogućavaju djelomično nadopunjavanje baterija svaki put kada je vozilo stacionarno (npr. na okretištima). Na taj se način značajno povećava dnevna autonomija vozila te se eventualni gubitak </w:t>
            </w:r>
            <w:r w:rsidRPr="00530FCF">
              <w:rPr>
                <w:rFonts w:ascii="Times New Roman" w:hAnsi="Times New Roman" w:cs="Times New Roman"/>
              </w:rPr>
              <w:lastRenderedPageBreak/>
              <w:t>raspoloživosti vozila zbog pražnjenja baterije svodi na minimum.</w:t>
            </w:r>
          </w:p>
          <w:p w14:paraId="06CC6926" w14:textId="77777777" w:rsidR="00530FCF" w:rsidRPr="00530FCF" w:rsidRDefault="00530FCF" w:rsidP="00530FCF">
            <w:pPr>
              <w:jc w:val="both"/>
              <w:rPr>
                <w:rFonts w:ascii="Times New Roman" w:hAnsi="Times New Roman" w:cs="Times New Roman"/>
              </w:rPr>
            </w:pPr>
          </w:p>
          <w:p w14:paraId="6AEA99DD" w14:textId="77777777" w:rsidR="00530FCF" w:rsidRPr="00530FCF" w:rsidRDefault="00530FCF" w:rsidP="00530FCF">
            <w:pPr>
              <w:jc w:val="both"/>
              <w:rPr>
                <w:rFonts w:ascii="Times New Roman" w:hAnsi="Times New Roman" w:cs="Times New Roman"/>
              </w:rPr>
            </w:pPr>
            <w:r w:rsidRPr="00530FCF">
              <w:rPr>
                <w:rFonts w:ascii="Times New Roman" w:hAnsi="Times New Roman" w:cs="Times New Roman"/>
              </w:rPr>
              <w:t>Prijedlog korekcije dokumentacije</w:t>
            </w:r>
          </w:p>
          <w:p w14:paraId="451DA2EE" w14:textId="77777777" w:rsidR="00530FCF" w:rsidRPr="00530FCF" w:rsidRDefault="00530FCF" w:rsidP="00530FCF">
            <w:pPr>
              <w:jc w:val="both"/>
              <w:rPr>
                <w:rFonts w:ascii="Times New Roman" w:hAnsi="Times New Roman" w:cs="Times New Roman"/>
              </w:rPr>
            </w:pPr>
          </w:p>
          <w:p w14:paraId="3660F70C" w14:textId="1D0050D1" w:rsidR="00BF4234" w:rsidRPr="00171039" w:rsidRDefault="00530FCF" w:rsidP="00530FCF">
            <w:pPr>
              <w:jc w:val="both"/>
              <w:rPr>
                <w:rFonts w:ascii="Times New Roman" w:hAnsi="Times New Roman" w:cs="Times New Roman"/>
              </w:rPr>
            </w:pPr>
            <w:r w:rsidRPr="00530FCF">
              <w:rPr>
                <w:rFonts w:ascii="Times New Roman" w:hAnsi="Times New Roman" w:cs="Times New Roman"/>
              </w:rPr>
              <w:t>Predlaže se da se pod minimalne tehničke karakteristike u stavci „Baterije“ stavi: „</w:t>
            </w:r>
            <w:proofErr w:type="spellStart"/>
            <w:r w:rsidRPr="00530FCF">
              <w:rPr>
                <w:rFonts w:ascii="Times New Roman" w:hAnsi="Times New Roman" w:cs="Times New Roman"/>
              </w:rPr>
              <w:t>Litijske</w:t>
            </w:r>
            <w:proofErr w:type="spellEnd"/>
            <w:r w:rsidRPr="00530FCF">
              <w:rPr>
                <w:rFonts w:ascii="Times New Roman" w:hAnsi="Times New Roman" w:cs="Times New Roman"/>
              </w:rPr>
              <w:t xml:space="preserve"> baterije, min. kapacitet 180Ah“.  </w:t>
            </w:r>
          </w:p>
        </w:tc>
        <w:tc>
          <w:tcPr>
            <w:tcW w:w="4077" w:type="dxa"/>
            <w:vMerge w:val="restart"/>
            <w:noWrap/>
          </w:tcPr>
          <w:p w14:paraId="3C91C9E2" w14:textId="6C2826B2" w:rsidR="0082388E" w:rsidRDefault="00A93062" w:rsidP="0082388E">
            <w:pPr>
              <w:jc w:val="both"/>
              <w:rPr>
                <w:rFonts w:ascii="Times New Roman" w:hAnsi="Times New Roman" w:cs="Times New Roman"/>
              </w:rPr>
            </w:pPr>
            <w:r>
              <w:rPr>
                <w:rFonts w:ascii="Times New Roman" w:hAnsi="Times New Roman" w:cs="Times New Roman"/>
              </w:rPr>
              <w:lastRenderedPageBreak/>
              <w:t>Prijedlog se ne prihvaća, već se predlaže izmjena na način da dokumentacija dopuni opisom</w:t>
            </w:r>
            <w:r w:rsidR="0082388E">
              <w:rPr>
                <w:rFonts w:ascii="Times New Roman" w:hAnsi="Times New Roman" w:cs="Times New Roman"/>
              </w:rPr>
              <w:t>:</w:t>
            </w:r>
            <w:r>
              <w:rPr>
                <w:rFonts w:ascii="Times New Roman" w:hAnsi="Times New Roman" w:cs="Times New Roman"/>
              </w:rPr>
              <w:t xml:space="preserve"> </w:t>
            </w:r>
            <w:r w:rsidR="0082388E">
              <w:rPr>
                <w:rFonts w:ascii="Times New Roman" w:hAnsi="Times New Roman" w:cs="Times New Roman"/>
              </w:rPr>
              <w:t>„olovn</w:t>
            </w:r>
            <w:r w:rsidR="004A0F5F">
              <w:rPr>
                <w:rFonts w:ascii="Times New Roman" w:hAnsi="Times New Roman" w:cs="Times New Roman"/>
              </w:rPr>
              <w:t>a</w:t>
            </w:r>
            <w:r>
              <w:rPr>
                <w:rFonts w:ascii="Times New Roman" w:hAnsi="Times New Roman" w:cs="Times New Roman"/>
              </w:rPr>
              <w:t xml:space="preserve"> duboko </w:t>
            </w:r>
            <w:r w:rsidR="004A0F5F">
              <w:rPr>
                <w:rFonts w:ascii="Times New Roman" w:hAnsi="Times New Roman" w:cs="Times New Roman"/>
              </w:rPr>
              <w:t>ciklička akumulatorska baterija</w:t>
            </w:r>
            <w:r w:rsidR="0082388E">
              <w:rPr>
                <w:rFonts w:ascii="Times New Roman" w:hAnsi="Times New Roman" w:cs="Times New Roman"/>
              </w:rPr>
              <w:t>“</w:t>
            </w:r>
            <w:r>
              <w:rPr>
                <w:rFonts w:ascii="Times New Roman" w:hAnsi="Times New Roman" w:cs="Times New Roman"/>
              </w:rPr>
              <w:t xml:space="preserve">. </w:t>
            </w:r>
          </w:p>
          <w:p w14:paraId="0E2FBDC2" w14:textId="77777777" w:rsidR="0082388E" w:rsidRDefault="0082388E" w:rsidP="0082388E">
            <w:pPr>
              <w:jc w:val="both"/>
              <w:rPr>
                <w:rFonts w:ascii="Times New Roman" w:hAnsi="Times New Roman" w:cs="Times New Roman"/>
              </w:rPr>
            </w:pPr>
          </w:p>
          <w:p w14:paraId="588F624A" w14:textId="77777777" w:rsidR="0082388E" w:rsidRDefault="0082388E" w:rsidP="0082388E">
            <w:pPr>
              <w:jc w:val="both"/>
              <w:rPr>
                <w:rFonts w:ascii="Times New Roman" w:hAnsi="Times New Roman" w:cs="Times New Roman"/>
              </w:rPr>
            </w:pPr>
            <w:r>
              <w:rPr>
                <w:rFonts w:ascii="Times New Roman" w:hAnsi="Times New Roman" w:cs="Times New Roman"/>
              </w:rPr>
              <w:t>Obrazloženje:</w:t>
            </w:r>
          </w:p>
          <w:p w14:paraId="7E001A8C" w14:textId="56E7BF8A" w:rsidR="00EA03A0" w:rsidRDefault="0082388E" w:rsidP="0082388E">
            <w:pPr>
              <w:jc w:val="both"/>
              <w:rPr>
                <w:rFonts w:ascii="Times New Roman" w:hAnsi="Times New Roman" w:cs="Times New Roman"/>
              </w:rPr>
            </w:pPr>
            <w:r>
              <w:rPr>
                <w:rFonts w:ascii="Times New Roman" w:hAnsi="Times New Roman" w:cs="Times New Roman"/>
              </w:rPr>
              <w:t>Takvi akumulator</w:t>
            </w:r>
            <w:r w:rsidR="004A0F5F">
              <w:rPr>
                <w:rFonts w:ascii="Times New Roman" w:hAnsi="Times New Roman" w:cs="Times New Roman"/>
              </w:rPr>
              <w:t>ske baterije</w:t>
            </w:r>
            <w:r>
              <w:rPr>
                <w:rFonts w:ascii="Times New Roman" w:hAnsi="Times New Roman" w:cs="Times New Roman"/>
              </w:rPr>
              <w:t xml:space="preserve"> imaju</w:t>
            </w:r>
            <w:r w:rsidR="00A93062">
              <w:rPr>
                <w:rFonts w:ascii="Times New Roman" w:hAnsi="Times New Roman" w:cs="Times New Roman"/>
              </w:rPr>
              <w:t xml:space="preserve"> puno veći ciklički život i puno duži životni vijek, kao i odličnu pouzdanost.</w:t>
            </w:r>
            <w:r>
              <w:rPr>
                <w:rFonts w:ascii="Times New Roman" w:hAnsi="Times New Roman" w:cs="Times New Roman"/>
              </w:rPr>
              <w:t xml:space="preserve"> Koriste se upravo kod vozila na elektropogon i solarnih aplikacija.</w:t>
            </w:r>
          </w:p>
          <w:p w14:paraId="1085026F" w14:textId="5A889D29" w:rsidR="004A0F5F" w:rsidRPr="00171039" w:rsidRDefault="004A0F5F" w:rsidP="0082388E">
            <w:pPr>
              <w:jc w:val="both"/>
              <w:rPr>
                <w:rFonts w:ascii="Times New Roman" w:hAnsi="Times New Roman" w:cs="Times New Roman"/>
              </w:rPr>
            </w:pPr>
            <w:r>
              <w:rPr>
                <w:rFonts w:ascii="Times New Roman" w:hAnsi="Times New Roman" w:cs="Times New Roman"/>
              </w:rPr>
              <w:t xml:space="preserve">Naručitelj ne želi </w:t>
            </w:r>
            <w:proofErr w:type="spellStart"/>
            <w:r>
              <w:rPr>
                <w:rFonts w:ascii="Times New Roman" w:hAnsi="Times New Roman" w:cs="Times New Roman"/>
              </w:rPr>
              <w:t>litijske</w:t>
            </w:r>
            <w:proofErr w:type="spellEnd"/>
            <w:r>
              <w:rPr>
                <w:rFonts w:ascii="Times New Roman" w:hAnsi="Times New Roman" w:cs="Times New Roman"/>
              </w:rPr>
              <w:t xml:space="preserve"> baterije jer su osjetljive na niske temperature (optimalan rad na 20-25 stupnjeva), </w:t>
            </w:r>
            <w:r w:rsidR="00B21188">
              <w:rPr>
                <w:rFonts w:ascii="Times New Roman" w:hAnsi="Times New Roman" w:cs="Times New Roman"/>
              </w:rPr>
              <w:t xml:space="preserve">jer će vozila prometovati i u zimskim uvjetima, </w:t>
            </w:r>
            <w:r>
              <w:rPr>
                <w:rFonts w:ascii="Times New Roman" w:hAnsi="Times New Roman" w:cs="Times New Roman"/>
              </w:rPr>
              <w:t xml:space="preserve">a </w:t>
            </w:r>
            <w:r w:rsidR="00B21188">
              <w:rPr>
                <w:rFonts w:ascii="Times New Roman" w:hAnsi="Times New Roman" w:cs="Times New Roman"/>
              </w:rPr>
              <w:t xml:space="preserve">i </w:t>
            </w:r>
            <w:proofErr w:type="spellStart"/>
            <w:r w:rsidR="00B21188">
              <w:rPr>
                <w:rFonts w:ascii="Times New Roman" w:hAnsi="Times New Roman" w:cs="Times New Roman"/>
              </w:rPr>
              <w:t>litijske</w:t>
            </w:r>
            <w:proofErr w:type="spellEnd"/>
            <w:r w:rsidR="00B21188">
              <w:rPr>
                <w:rFonts w:ascii="Times New Roman" w:hAnsi="Times New Roman" w:cs="Times New Roman"/>
              </w:rPr>
              <w:t xml:space="preserve"> baterije </w:t>
            </w:r>
            <w:r>
              <w:rPr>
                <w:rFonts w:ascii="Times New Roman" w:hAnsi="Times New Roman" w:cs="Times New Roman"/>
              </w:rPr>
              <w:t>u prosjeku nakon 500 ciklusa punjenja gube oko 20% kapaciteta.</w:t>
            </w:r>
          </w:p>
        </w:tc>
      </w:tr>
      <w:tr w:rsidR="00CB72C6" w:rsidRPr="00171039" w14:paraId="60DFDDEA" w14:textId="77777777" w:rsidTr="00A864F3">
        <w:trPr>
          <w:trHeight w:val="253"/>
        </w:trPr>
        <w:tc>
          <w:tcPr>
            <w:tcW w:w="705" w:type="dxa"/>
            <w:vMerge/>
            <w:hideMark/>
          </w:tcPr>
          <w:p w14:paraId="7BA9F6FD" w14:textId="0FBA8E2C" w:rsidR="00CB72C6" w:rsidRPr="00171039" w:rsidRDefault="00CB72C6" w:rsidP="00EF3B04">
            <w:pPr>
              <w:rPr>
                <w:rFonts w:ascii="Times New Roman" w:hAnsi="Times New Roman" w:cs="Times New Roman"/>
              </w:rPr>
            </w:pPr>
          </w:p>
        </w:tc>
        <w:tc>
          <w:tcPr>
            <w:tcW w:w="4504" w:type="dxa"/>
            <w:gridSpan w:val="2"/>
            <w:vMerge/>
            <w:hideMark/>
          </w:tcPr>
          <w:p w14:paraId="42755394" w14:textId="77777777" w:rsidR="00CB72C6" w:rsidRPr="00171039" w:rsidRDefault="00CB72C6" w:rsidP="00EF3B04">
            <w:pPr>
              <w:rPr>
                <w:rFonts w:ascii="Times New Roman" w:hAnsi="Times New Roman" w:cs="Times New Roman"/>
              </w:rPr>
            </w:pPr>
          </w:p>
        </w:tc>
        <w:tc>
          <w:tcPr>
            <w:tcW w:w="4077" w:type="dxa"/>
            <w:vMerge/>
            <w:hideMark/>
          </w:tcPr>
          <w:p w14:paraId="2A141E6C" w14:textId="77777777" w:rsidR="00CB72C6" w:rsidRPr="00171039" w:rsidRDefault="00CB72C6" w:rsidP="00EF3B04">
            <w:pPr>
              <w:rPr>
                <w:rFonts w:ascii="Times New Roman" w:hAnsi="Times New Roman" w:cs="Times New Roman"/>
              </w:rPr>
            </w:pPr>
          </w:p>
        </w:tc>
      </w:tr>
      <w:tr w:rsidR="00530FCF" w:rsidRPr="00171039" w14:paraId="4B65F31B" w14:textId="77777777" w:rsidTr="00A864F3">
        <w:trPr>
          <w:trHeight w:val="253"/>
        </w:trPr>
        <w:tc>
          <w:tcPr>
            <w:tcW w:w="705" w:type="dxa"/>
          </w:tcPr>
          <w:p w14:paraId="1CE4B21D" w14:textId="43F8FFBE" w:rsidR="00530FCF" w:rsidRPr="00171039" w:rsidRDefault="00530FCF" w:rsidP="00EF3B04">
            <w:pPr>
              <w:rPr>
                <w:rFonts w:ascii="Times New Roman" w:hAnsi="Times New Roman" w:cs="Times New Roman"/>
              </w:rPr>
            </w:pPr>
            <w:r>
              <w:rPr>
                <w:rFonts w:ascii="Times New Roman" w:hAnsi="Times New Roman" w:cs="Times New Roman"/>
              </w:rPr>
              <w:lastRenderedPageBreak/>
              <w:t>2.</w:t>
            </w:r>
          </w:p>
        </w:tc>
        <w:tc>
          <w:tcPr>
            <w:tcW w:w="4504" w:type="dxa"/>
            <w:gridSpan w:val="2"/>
          </w:tcPr>
          <w:p w14:paraId="7F8C0D77"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Brzina unaprijed</w:t>
            </w:r>
          </w:p>
          <w:p w14:paraId="3AED93AE" w14:textId="77777777" w:rsidR="00530FCF" w:rsidRPr="00530FCF" w:rsidRDefault="00530FCF" w:rsidP="00530FCF">
            <w:pPr>
              <w:rPr>
                <w:rFonts w:ascii="Times New Roman" w:hAnsi="Times New Roman" w:cs="Times New Roman"/>
              </w:rPr>
            </w:pPr>
          </w:p>
          <w:p w14:paraId="47474105"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U tablici u Poglavlju 4 „Opis predmeta nabave“, pod minimalnom traženom brzinom kretanja vozila unaprijed navedena je vrijednost koja NIJE U SKLADU sa zahtjevom Naručitelja o </w:t>
            </w:r>
            <w:proofErr w:type="spellStart"/>
            <w:r w:rsidRPr="00530FCF">
              <w:rPr>
                <w:rFonts w:ascii="Times New Roman" w:hAnsi="Times New Roman" w:cs="Times New Roman"/>
              </w:rPr>
              <w:t>homologiranosti</w:t>
            </w:r>
            <w:proofErr w:type="spellEnd"/>
            <w:r w:rsidRPr="00530FCF">
              <w:rPr>
                <w:rFonts w:ascii="Times New Roman" w:hAnsi="Times New Roman" w:cs="Times New Roman"/>
              </w:rPr>
              <w:t xml:space="preserve"> vozila navedenom na strani 5 Dokumentacije („Vozila koja su predmet nabave moraju biti nova, proizvedena min u 2017. godini, s potvrdom o izvršenoj homologaciji  za turističke namjene.“).</w:t>
            </w:r>
          </w:p>
          <w:p w14:paraId="1396293F" w14:textId="77777777" w:rsidR="00530FCF" w:rsidRPr="00530FCF" w:rsidRDefault="00530FCF" w:rsidP="00530FCF">
            <w:pPr>
              <w:rPr>
                <w:rFonts w:ascii="Times New Roman" w:hAnsi="Times New Roman" w:cs="Times New Roman"/>
              </w:rPr>
            </w:pPr>
          </w:p>
          <w:p w14:paraId="30EB7897" w14:textId="7AE4DFF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547E05CE" w14:textId="77777777" w:rsidR="00530FCF" w:rsidRPr="00530FCF" w:rsidRDefault="00530FCF" w:rsidP="00530FCF">
            <w:pPr>
              <w:rPr>
                <w:rFonts w:ascii="Times New Roman" w:hAnsi="Times New Roman" w:cs="Times New Roman"/>
              </w:rPr>
            </w:pPr>
          </w:p>
          <w:p w14:paraId="01B19E96"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Sukladno Pravilniku o tehničkim uvjetima za turističko vozilo (NN 86/2015), Čl. 4, St. 1 izrijekom stoji da je turističko vozilo ono koje je konstruirano ili preinačeno za brzine koje ne prelaze 25 km/h.</w:t>
            </w:r>
          </w:p>
          <w:p w14:paraId="161D7F71" w14:textId="77777777" w:rsidR="00530FCF" w:rsidRPr="00530FCF" w:rsidRDefault="00530FCF" w:rsidP="00530FCF">
            <w:pPr>
              <w:rPr>
                <w:rFonts w:ascii="Times New Roman" w:hAnsi="Times New Roman" w:cs="Times New Roman"/>
              </w:rPr>
            </w:pPr>
          </w:p>
          <w:p w14:paraId="7187802E" w14:textId="3DEAAA2E"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Prijedlog korekcije dokumentacije</w:t>
            </w:r>
          </w:p>
          <w:p w14:paraId="764D5D7E" w14:textId="77777777" w:rsidR="00530FCF" w:rsidRPr="00530FCF" w:rsidRDefault="00530FCF" w:rsidP="00530FCF">
            <w:pPr>
              <w:rPr>
                <w:rFonts w:ascii="Times New Roman" w:hAnsi="Times New Roman" w:cs="Times New Roman"/>
              </w:rPr>
            </w:pPr>
          </w:p>
          <w:p w14:paraId="0C91D64F" w14:textId="1108A37C" w:rsidR="00530FCF" w:rsidRPr="00171039" w:rsidRDefault="00530FCF" w:rsidP="00530FCF">
            <w:pPr>
              <w:rPr>
                <w:rFonts w:ascii="Times New Roman" w:hAnsi="Times New Roman" w:cs="Times New Roman"/>
              </w:rPr>
            </w:pPr>
            <w:r w:rsidRPr="00530FCF">
              <w:rPr>
                <w:rFonts w:ascii="Times New Roman" w:hAnsi="Times New Roman" w:cs="Times New Roman"/>
              </w:rPr>
              <w:t xml:space="preserve">Budući je navedena zahtijevana tehnička karakteristika u suprotnosti s važećom </w:t>
            </w:r>
            <w:proofErr w:type="spellStart"/>
            <w:r w:rsidRPr="00530FCF">
              <w:rPr>
                <w:rFonts w:ascii="Times New Roman" w:hAnsi="Times New Roman" w:cs="Times New Roman"/>
              </w:rPr>
              <w:t>zakono</w:t>
            </w:r>
            <w:proofErr w:type="spellEnd"/>
            <w:r w:rsidRPr="00530FCF">
              <w:rPr>
                <w:rFonts w:ascii="Times New Roman" w:hAnsi="Times New Roman" w:cs="Times New Roman"/>
              </w:rPr>
              <w:t xml:space="preserve">-pravnom regulativom Republike Hrvatske, predlaže se da se sporna stavka izmijeni tako da glasi: „Brzina unaprijed: </w:t>
            </w:r>
            <w:proofErr w:type="spellStart"/>
            <w:r w:rsidRPr="00530FCF">
              <w:rPr>
                <w:rFonts w:ascii="Times New Roman" w:hAnsi="Times New Roman" w:cs="Times New Roman"/>
              </w:rPr>
              <w:t>Max</w:t>
            </w:r>
            <w:proofErr w:type="spellEnd"/>
            <w:r w:rsidRPr="00530FCF">
              <w:rPr>
                <w:rFonts w:ascii="Times New Roman" w:hAnsi="Times New Roman" w:cs="Times New Roman"/>
              </w:rPr>
              <w:t>. 25 km/h“.</w:t>
            </w:r>
          </w:p>
        </w:tc>
        <w:tc>
          <w:tcPr>
            <w:tcW w:w="4077" w:type="dxa"/>
          </w:tcPr>
          <w:p w14:paraId="597E0FC3" w14:textId="30DCC1FF" w:rsidR="00530FCF" w:rsidRDefault="0082388E" w:rsidP="006F419E">
            <w:pPr>
              <w:rPr>
                <w:rFonts w:ascii="Times New Roman" w:hAnsi="Times New Roman" w:cs="Times New Roman"/>
              </w:rPr>
            </w:pPr>
            <w:r>
              <w:rPr>
                <w:rFonts w:ascii="Times New Roman" w:hAnsi="Times New Roman" w:cs="Times New Roman"/>
              </w:rPr>
              <w:t xml:space="preserve">Prijedlog se </w:t>
            </w:r>
            <w:r w:rsidR="006F419E">
              <w:rPr>
                <w:rFonts w:ascii="Times New Roman" w:hAnsi="Times New Roman" w:cs="Times New Roman"/>
              </w:rPr>
              <w:t xml:space="preserve">djelomično </w:t>
            </w:r>
            <w:r>
              <w:rPr>
                <w:rFonts w:ascii="Times New Roman" w:hAnsi="Times New Roman" w:cs="Times New Roman"/>
              </w:rPr>
              <w:t>prihvaća</w:t>
            </w:r>
            <w:r w:rsidR="00C23296">
              <w:rPr>
                <w:rFonts w:ascii="Times New Roman" w:hAnsi="Times New Roman" w:cs="Times New Roman"/>
              </w:rPr>
              <w:t>, predlaže se izmjena na način da piše. „min 20 km/h“</w:t>
            </w:r>
          </w:p>
          <w:p w14:paraId="200B2F80" w14:textId="77777777" w:rsidR="00C23296" w:rsidRDefault="00C23296" w:rsidP="006F419E">
            <w:pPr>
              <w:rPr>
                <w:rFonts w:ascii="Times New Roman" w:hAnsi="Times New Roman" w:cs="Times New Roman"/>
              </w:rPr>
            </w:pPr>
          </w:p>
          <w:p w14:paraId="542FA42C" w14:textId="77777777" w:rsidR="006F419E" w:rsidRDefault="006F419E" w:rsidP="006F419E">
            <w:pPr>
              <w:rPr>
                <w:rFonts w:ascii="Times New Roman" w:hAnsi="Times New Roman" w:cs="Times New Roman"/>
              </w:rPr>
            </w:pPr>
            <w:r>
              <w:rPr>
                <w:rFonts w:ascii="Times New Roman" w:hAnsi="Times New Roman" w:cs="Times New Roman"/>
              </w:rPr>
              <w:t>Obrazloženje:</w:t>
            </w:r>
          </w:p>
          <w:p w14:paraId="51D74B05" w14:textId="527AE616" w:rsidR="006F419E" w:rsidRPr="00171039" w:rsidRDefault="006F419E" w:rsidP="006F419E">
            <w:pPr>
              <w:rPr>
                <w:rFonts w:ascii="Times New Roman" w:hAnsi="Times New Roman" w:cs="Times New Roman"/>
              </w:rPr>
            </w:pPr>
            <w:r>
              <w:rPr>
                <w:rFonts w:ascii="Times New Roman" w:hAnsi="Times New Roman" w:cs="Times New Roman"/>
              </w:rPr>
              <w:t xml:space="preserve">Pravilnikom je definirana </w:t>
            </w:r>
            <w:proofErr w:type="spellStart"/>
            <w:r>
              <w:rPr>
                <w:rFonts w:ascii="Times New Roman" w:hAnsi="Times New Roman" w:cs="Times New Roman"/>
              </w:rPr>
              <w:t>max</w:t>
            </w:r>
            <w:proofErr w:type="spellEnd"/>
            <w:r>
              <w:rPr>
                <w:rFonts w:ascii="Times New Roman" w:hAnsi="Times New Roman" w:cs="Times New Roman"/>
              </w:rPr>
              <w:t xml:space="preserve"> dopuštena brzina turističkog vozila te je nema potrebe ponovno navoditi. Naručitelj je definirao minimalnu dopuštenu brzinu v</w:t>
            </w:r>
            <w:r w:rsidR="00C23296">
              <w:rPr>
                <w:rFonts w:ascii="Times New Roman" w:hAnsi="Times New Roman" w:cs="Times New Roman"/>
              </w:rPr>
              <w:t xml:space="preserve">ozila, jer bi u suprotnom uvjete zadovoljilo i vozilo čija je </w:t>
            </w:r>
            <w:proofErr w:type="spellStart"/>
            <w:r w:rsidR="00C23296">
              <w:rPr>
                <w:rFonts w:ascii="Times New Roman" w:hAnsi="Times New Roman" w:cs="Times New Roman"/>
              </w:rPr>
              <w:t>max</w:t>
            </w:r>
            <w:proofErr w:type="spellEnd"/>
            <w:r w:rsidR="00C23296">
              <w:rPr>
                <w:rFonts w:ascii="Times New Roman" w:hAnsi="Times New Roman" w:cs="Times New Roman"/>
              </w:rPr>
              <w:t xml:space="preserve"> brzina npr. 5 km/h što je Naručitelju neprihvatljivo.</w:t>
            </w:r>
          </w:p>
        </w:tc>
      </w:tr>
      <w:tr w:rsidR="00530FCF" w:rsidRPr="00171039" w14:paraId="33C71CEA" w14:textId="77777777" w:rsidTr="00A864F3">
        <w:trPr>
          <w:trHeight w:val="253"/>
        </w:trPr>
        <w:tc>
          <w:tcPr>
            <w:tcW w:w="705" w:type="dxa"/>
          </w:tcPr>
          <w:p w14:paraId="756EC11B" w14:textId="42BA213F" w:rsidR="00530FCF" w:rsidRPr="00171039" w:rsidRDefault="00530FCF" w:rsidP="00EF3B04">
            <w:pPr>
              <w:rPr>
                <w:rFonts w:ascii="Times New Roman" w:hAnsi="Times New Roman" w:cs="Times New Roman"/>
              </w:rPr>
            </w:pPr>
            <w:r>
              <w:rPr>
                <w:rFonts w:ascii="Times New Roman" w:hAnsi="Times New Roman" w:cs="Times New Roman"/>
              </w:rPr>
              <w:t>3.</w:t>
            </w:r>
          </w:p>
        </w:tc>
        <w:tc>
          <w:tcPr>
            <w:tcW w:w="4504" w:type="dxa"/>
            <w:gridSpan w:val="2"/>
          </w:tcPr>
          <w:p w14:paraId="0B108A97"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Brzina unazad</w:t>
            </w:r>
          </w:p>
          <w:p w14:paraId="14A16F97" w14:textId="77777777" w:rsidR="00530FCF" w:rsidRPr="00530FCF" w:rsidRDefault="00530FCF" w:rsidP="00530FCF">
            <w:pPr>
              <w:rPr>
                <w:rFonts w:ascii="Times New Roman" w:hAnsi="Times New Roman" w:cs="Times New Roman"/>
              </w:rPr>
            </w:pPr>
          </w:p>
          <w:p w14:paraId="1042B831"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Nastavno na navedeno pod točkom 2), Pravilnikom o tehničkim uvjetima za turističko vozilo (NN 86/2015) NIGDJE NIJE NAVEDEN podatak o potrebnoj minimalnoj brzini kretanja vozila unazad, niti se potreba takvog zahtjeva može vjerodostojno objasniti.</w:t>
            </w:r>
          </w:p>
          <w:p w14:paraId="6AA0FC73" w14:textId="77777777" w:rsidR="00530FCF" w:rsidRPr="00530FCF" w:rsidRDefault="00530FCF" w:rsidP="00530FCF">
            <w:pPr>
              <w:rPr>
                <w:rFonts w:ascii="Times New Roman" w:hAnsi="Times New Roman" w:cs="Times New Roman"/>
              </w:rPr>
            </w:pPr>
          </w:p>
          <w:p w14:paraId="188F681E" w14:textId="6D18DCF1"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509A18A5" w14:textId="77777777" w:rsidR="00530FCF" w:rsidRPr="00530FCF" w:rsidRDefault="00530FCF" w:rsidP="00530FCF">
            <w:pPr>
              <w:rPr>
                <w:rFonts w:ascii="Times New Roman" w:hAnsi="Times New Roman" w:cs="Times New Roman"/>
              </w:rPr>
            </w:pPr>
          </w:p>
          <w:p w14:paraId="42B0524D"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Budući se navedenim Pravilnikom o tehničkim uvjetima za turističko vozilo izrijekom ograničava maksimalna brzina kretanja vozila unaprijed na 25 km/h, navedeni zahtjev minimalne brzine kretanja unazad od čak 20 km/h može se smatrati kontradiktornim i u suprotnosti sa svim standardima sigurnog rukovanja i prometovanja vozila. S tim u vezi nije jasna potreba njegovog isticanja u predmetnoj Dokumentaciji.</w:t>
            </w:r>
          </w:p>
          <w:p w14:paraId="01521E15" w14:textId="77777777" w:rsidR="00530FCF" w:rsidRPr="00530FCF" w:rsidRDefault="00530FCF" w:rsidP="00530FCF">
            <w:pPr>
              <w:rPr>
                <w:rFonts w:ascii="Times New Roman" w:hAnsi="Times New Roman" w:cs="Times New Roman"/>
              </w:rPr>
            </w:pPr>
          </w:p>
          <w:p w14:paraId="539A3826" w14:textId="77777777" w:rsidR="00530FCF" w:rsidRPr="00530FCF" w:rsidRDefault="00530FCF" w:rsidP="00530FCF">
            <w:pPr>
              <w:rPr>
                <w:rFonts w:ascii="Times New Roman" w:hAnsi="Times New Roman" w:cs="Times New Roman"/>
              </w:rPr>
            </w:pPr>
          </w:p>
          <w:p w14:paraId="5E68E18B"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Prijedlog korekcije dokumentacije</w:t>
            </w:r>
          </w:p>
          <w:p w14:paraId="78A1863B" w14:textId="77777777" w:rsidR="00530FCF" w:rsidRPr="00530FCF" w:rsidRDefault="00530FCF" w:rsidP="00530FCF">
            <w:pPr>
              <w:rPr>
                <w:rFonts w:ascii="Times New Roman" w:hAnsi="Times New Roman" w:cs="Times New Roman"/>
              </w:rPr>
            </w:pPr>
          </w:p>
          <w:p w14:paraId="34F32A83" w14:textId="67A7857C" w:rsidR="00530FCF" w:rsidRPr="00171039" w:rsidRDefault="00530FCF" w:rsidP="00530FCF">
            <w:pPr>
              <w:rPr>
                <w:rFonts w:ascii="Times New Roman" w:hAnsi="Times New Roman" w:cs="Times New Roman"/>
              </w:rPr>
            </w:pPr>
            <w:r w:rsidRPr="00530FCF">
              <w:rPr>
                <w:rFonts w:ascii="Times New Roman" w:hAnsi="Times New Roman" w:cs="Times New Roman"/>
              </w:rPr>
              <w:t>Predlaže se da se sporna stavka definiranja potrebne brzine kretanja vozila unazad briše iz Dokumentacije</w:t>
            </w:r>
          </w:p>
        </w:tc>
        <w:tc>
          <w:tcPr>
            <w:tcW w:w="4077" w:type="dxa"/>
          </w:tcPr>
          <w:p w14:paraId="30A17EB6" w14:textId="77777777" w:rsidR="00530FCF" w:rsidRDefault="00A93062" w:rsidP="00C23296">
            <w:pPr>
              <w:rPr>
                <w:rFonts w:ascii="Times New Roman" w:hAnsi="Times New Roman" w:cs="Times New Roman"/>
              </w:rPr>
            </w:pPr>
            <w:r>
              <w:rPr>
                <w:rFonts w:ascii="Times New Roman" w:hAnsi="Times New Roman" w:cs="Times New Roman"/>
              </w:rPr>
              <w:lastRenderedPageBreak/>
              <w:t xml:space="preserve">Primjedba se </w:t>
            </w:r>
            <w:r w:rsidR="00C23296">
              <w:rPr>
                <w:rFonts w:ascii="Times New Roman" w:hAnsi="Times New Roman" w:cs="Times New Roman"/>
              </w:rPr>
              <w:t>ne prihvaća.</w:t>
            </w:r>
          </w:p>
          <w:p w14:paraId="78808A14" w14:textId="77777777" w:rsidR="00C23296" w:rsidRDefault="00C23296" w:rsidP="00C23296">
            <w:pPr>
              <w:rPr>
                <w:rFonts w:ascii="Times New Roman" w:hAnsi="Times New Roman" w:cs="Times New Roman"/>
              </w:rPr>
            </w:pPr>
          </w:p>
          <w:p w14:paraId="1F8ACB57" w14:textId="2AA78AB2" w:rsidR="00C23296" w:rsidRDefault="00C23296" w:rsidP="00C23296">
            <w:pPr>
              <w:rPr>
                <w:rFonts w:ascii="Times New Roman" w:hAnsi="Times New Roman" w:cs="Times New Roman"/>
              </w:rPr>
            </w:pPr>
            <w:r>
              <w:rPr>
                <w:rFonts w:ascii="Times New Roman" w:hAnsi="Times New Roman" w:cs="Times New Roman"/>
              </w:rPr>
              <w:t>Obrazloženje:</w:t>
            </w:r>
          </w:p>
          <w:p w14:paraId="6FB2A73F" w14:textId="2AB71713" w:rsidR="00C23296" w:rsidRPr="00171039" w:rsidRDefault="00C23296" w:rsidP="00C23296">
            <w:pPr>
              <w:rPr>
                <w:rFonts w:ascii="Times New Roman" w:hAnsi="Times New Roman" w:cs="Times New Roman"/>
              </w:rPr>
            </w:pPr>
            <w:r>
              <w:rPr>
                <w:rFonts w:ascii="Times New Roman" w:hAnsi="Times New Roman" w:cs="Times New Roman"/>
              </w:rPr>
              <w:t xml:space="preserve">Bez obzira što u Pravilniku nije naveden podatak o minimalnoj brzini vožnje unazad, Naručitelj je ima pravo odrediti sukladno svojim potrebama. Kako je upotreba turističkih vozila planirana za razgledavanje Centra grada te korištenje tijekom prometnih gužvi, normalno je zahtijevati da vozilo može prometovati unazad brzinom koja je veća od pješačke ili biciklističke. </w:t>
            </w:r>
          </w:p>
        </w:tc>
      </w:tr>
      <w:tr w:rsidR="00530FCF" w:rsidRPr="00171039" w14:paraId="0288317F" w14:textId="77777777" w:rsidTr="00A864F3">
        <w:trPr>
          <w:trHeight w:val="253"/>
        </w:trPr>
        <w:tc>
          <w:tcPr>
            <w:tcW w:w="705" w:type="dxa"/>
          </w:tcPr>
          <w:p w14:paraId="08171FAF" w14:textId="3E86E475" w:rsidR="00530FCF" w:rsidRPr="00171039" w:rsidRDefault="00530FCF" w:rsidP="00EF3B04">
            <w:pPr>
              <w:rPr>
                <w:rFonts w:ascii="Times New Roman" w:hAnsi="Times New Roman" w:cs="Times New Roman"/>
              </w:rPr>
            </w:pPr>
            <w:r>
              <w:rPr>
                <w:rFonts w:ascii="Times New Roman" w:hAnsi="Times New Roman" w:cs="Times New Roman"/>
              </w:rPr>
              <w:lastRenderedPageBreak/>
              <w:t>4.</w:t>
            </w:r>
          </w:p>
        </w:tc>
        <w:tc>
          <w:tcPr>
            <w:tcW w:w="4504" w:type="dxa"/>
            <w:gridSpan w:val="2"/>
          </w:tcPr>
          <w:p w14:paraId="0E49895A" w14:textId="03C3DA6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Radijus okretanja</w:t>
            </w:r>
          </w:p>
          <w:p w14:paraId="3626F5D9" w14:textId="77777777" w:rsidR="00530FCF" w:rsidRPr="00530FCF" w:rsidRDefault="00530FCF" w:rsidP="00530FCF">
            <w:pPr>
              <w:rPr>
                <w:rFonts w:ascii="Times New Roman" w:hAnsi="Times New Roman" w:cs="Times New Roman"/>
              </w:rPr>
            </w:pPr>
          </w:p>
          <w:p w14:paraId="0FB2497F"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tablici u Poglavlju 4 „Opis predmeta nabave“, pod minimalnim tehničkim karakteristikama vezanim za radijus okretanja vozila navedena je vrijednost „</w:t>
            </w:r>
            <w:proofErr w:type="spellStart"/>
            <w:r w:rsidRPr="00530FCF">
              <w:rPr>
                <w:rFonts w:ascii="Times New Roman" w:hAnsi="Times New Roman" w:cs="Times New Roman"/>
              </w:rPr>
              <w:t>max</w:t>
            </w:r>
            <w:proofErr w:type="spellEnd"/>
            <w:r w:rsidRPr="00530FCF">
              <w:rPr>
                <w:rFonts w:ascii="Times New Roman" w:hAnsi="Times New Roman" w:cs="Times New Roman"/>
              </w:rPr>
              <w:t>. 6,0 m“ BEZ JASNOG SPECIFICIRANJA o kojoj točno mjerenoj veličini odnosno metodologiji mjerenja je riječ.</w:t>
            </w:r>
          </w:p>
          <w:p w14:paraId="45BA4170" w14:textId="77777777" w:rsidR="00530FCF" w:rsidRPr="00530FCF" w:rsidRDefault="00530FCF" w:rsidP="00530FCF">
            <w:pPr>
              <w:rPr>
                <w:rFonts w:ascii="Times New Roman" w:hAnsi="Times New Roman" w:cs="Times New Roman"/>
              </w:rPr>
            </w:pPr>
          </w:p>
          <w:p w14:paraId="76F998E5" w14:textId="51BBE2ED"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606B7AEE" w14:textId="77777777" w:rsidR="00530FCF" w:rsidRPr="00530FCF" w:rsidRDefault="00530FCF" w:rsidP="00530FCF">
            <w:pPr>
              <w:rPr>
                <w:rFonts w:ascii="Times New Roman" w:hAnsi="Times New Roman" w:cs="Times New Roman"/>
              </w:rPr>
            </w:pPr>
          </w:p>
          <w:p w14:paraId="1657F27A"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isticanju manevarskih sposobnosti vozila kroz iskazivanje podatka o radijusu okretanja, danas u svijetu se koristi veći broj veličina koje se, unatoč istom nazivu, međusobno razlikuju kako po geometriji tako i po metodologiji mjerenja. Neke od tipičnih mjerenih veličina radijusa okretanja tako su tzv. „</w:t>
            </w:r>
            <w:proofErr w:type="spellStart"/>
            <w:r w:rsidRPr="00530FCF">
              <w:rPr>
                <w:rFonts w:ascii="Times New Roman" w:hAnsi="Times New Roman" w:cs="Times New Roman"/>
              </w:rPr>
              <w:t>curb</w:t>
            </w:r>
            <w:proofErr w:type="spellEnd"/>
            <w:r w:rsidRPr="00530FCF">
              <w:rPr>
                <w:rFonts w:ascii="Times New Roman" w:hAnsi="Times New Roman" w:cs="Times New Roman"/>
              </w:rPr>
              <w:t>-to-</w:t>
            </w:r>
            <w:proofErr w:type="spellStart"/>
            <w:r w:rsidRPr="00530FCF">
              <w:rPr>
                <w:rFonts w:ascii="Times New Roman" w:hAnsi="Times New Roman" w:cs="Times New Roman"/>
              </w:rPr>
              <w:t>curb</w:t>
            </w:r>
            <w:proofErr w:type="spellEnd"/>
            <w:r w:rsidRPr="00530FCF">
              <w:rPr>
                <w:rFonts w:ascii="Times New Roman" w:hAnsi="Times New Roman" w:cs="Times New Roman"/>
              </w:rPr>
              <w:t>“ radijus, „</w:t>
            </w:r>
            <w:proofErr w:type="spellStart"/>
            <w:r w:rsidRPr="00530FCF">
              <w:rPr>
                <w:rFonts w:ascii="Times New Roman" w:hAnsi="Times New Roman" w:cs="Times New Roman"/>
              </w:rPr>
              <w:t>wall</w:t>
            </w:r>
            <w:proofErr w:type="spellEnd"/>
            <w:r w:rsidRPr="00530FCF">
              <w:rPr>
                <w:rFonts w:ascii="Times New Roman" w:hAnsi="Times New Roman" w:cs="Times New Roman"/>
              </w:rPr>
              <w:t>-to-</w:t>
            </w:r>
            <w:proofErr w:type="spellStart"/>
            <w:r w:rsidRPr="00530FCF">
              <w:rPr>
                <w:rFonts w:ascii="Times New Roman" w:hAnsi="Times New Roman" w:cs="Times New Roman"/>
              </w:rPr>
              <w:t>wall</w:t>
            </w:r>
            <w:proofErr w:type="spellEnd"/>
            <w:r w:rsidRPr="00530FCF">
              <w:rPr>
                <w:rFonts w:ascii="Times New Roman" w:hAnsi="Times New Roman" w:cs="Times New Roman"/>
              </w:rPr>
              <w:t>“ radijus, centralni radijus i drugi. Budući da u Dokumentaciji nije navedeno o kojoj točno je mjerenoj veličini riječ, ostavlja se iznimno puno prostora za različita tumačenja i pogrešno iskazivanje tražene vrijednosti. Veličine koje će Ponuditelji pritom navesti u svojim ponudama teško su provjerljive u praksi što otvara prostor manipulacijama. Konačno, premda nisu poznate karakteristike ciljane rute po kojoj bi vozila koja su predmetom nabave prometovala, teško je za očekivati igdje na ruti u Gradu Zagrebu potrebu savladavanja nadasve oštrih zavoja ili okretanja u skučenim prostorima što se sugerira ovim traženim parametrom.</w:t>
            </w:r>
          </w:p>
          <w:p w14:paraId="15E12F39"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w:t>
            </w:r>
          </w:p>
          <w:p w14:paraId="7ADD5F57" w14:textId="77777777" w:rsidR="00530FCF" w:rsidRPr="00530FCF" w:rsidRDefault="00530FCF" w:rsidP="00530FCF">
            <w:pPr>
              <w:rPr>
                <w:rFonts w:ascii="Times New Roman" w:hAnsi="Times New Roman" w:cs="Times New Roman"/>
              </w:rPr>
            </w:pPr>
          </w:p>
          <w:p w14:paraId="199F914E"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Prijedlog korekcije dokumentacije</w:t>
            </w:r>
          </w:p>
          <w:p w14:paraId="19962B30" w14:textId="77777777" w:rsidR="00530FCF" w:rsidRPr="00530FCF" w:rsidRDefault="00530FCF" w:rsidP="00530FCF">
            <w:pPr>
              <w:rPr>
                <w:rFonts w:ascii="Times New Roman" w:hAnsi="Times New Roman" w:cs="Times New Roman"/>
              </w:rPr>
            </w:pPr>
          </w:p>
          <w:p w14:paraId="7A273CC9" w14:textId="31039FB6" w:rsidR="00530FCF" w:rsidRPr="00171039" w:rsidRDefault="00530FCF" w:rsidP="00530FCF">
            <w:pPr>
              <w:rPr>
                <w:rFonts w:ascii="Times New Roman" w:hAnsi="Times New Roman" w:cs="Times New Roman"/>
              </w:rPr>
            </w:pPr>
            <w:r w:rsidRPr="00530FCF">
              <w:rPr>
                <w:rFonts w:ascii="Times New Roman" w:hAnsi="Times New Roman" w:cs="Times New Roman"/>
              </w:rPr>
              <w:t>Zbog gore obrazložene nemogućnosti jednostavnog, nedvosmislenog i provjerljivog formuliranja parametra radijusa okretanja, predlaže se da se ova stavka briše iz Dokumentacije.</w:t>
            </w:r>
          </w:p>
        </w:tc>
        <w:tc>
          <w:tcPr>
            <w:tcW w:w="4077" w:type="dxa"/>
          </w:tcPr>
          <w:p w14:paraId="1ABCD916" w14:textId="77777777" w:rsidR="00530FCF" w:rsidRDefault="0082388E" w:rsidP="00EF3B04">
            <w:pPr>
              <w:rPr>
                <w:rFonts w:ascii="Times New Roman" w:hAnsi="Times New Roman" w:cs="Times New Roman"/>
              </w:rPr>
            </w:pPr>
            <w:r>
              <w:rPr>
                <w:rFonts w:ascii="Times New Roman" w:hAnsi="Times New Roman" w:cs="Times New Roman"/>
              </w:rPr>
              <w:t>Prijedlog se ne prihvaća.</w:t>
            </w:r>
          </w:p>
          <w:p w14:paraId="303BA174" w14:textId="77777777" w:rsidR="00CD3369" w:rsidRDefault="00CD3369" w:rsidP="00EF3B04">
            <w:pPr>
              <w:rPr>
                <w:rFonts w:ascii="Times New Roman" w:hAnsi="Times New Roman" w:cs="Times New Roman"/>
              </w:rPr>
            </w:pPr>
          </w:p>
          <w:p w14:paraId="4A9B4F2D" w14:textId="77777777" w:rsidR="00162AA1" w:rsidRDefault="00162AA1" w:rsidP="00EF3B04">
            <w:pPr>
              <w:rPr>
                <w:rFonts w:ascii="Times New Roman" w:hAnsi="Times New Roman" w:cs="Times New Roman"/>
              </w:rPr>
            </w:pPr>
          </w:p>
          <w:p w14:paraId="76BEFF40" w14:textId="77777777" w:rsidR="00162AA1" w:rsidRDefault="00162AA1" w:rsidP="00CD3369">
            <w:pPr>
              <w:rPr>
                <w:rFonts w:ascii="Times New Roman" w:hAnsi="Times New Roman" w:cs="Times New Roman"/>
              </w:rPr>
            </w:pPr>
            <w:r>
              <w:rPr>
                <w:rFonts w:ascii="Times New Roman" w:hAnsi="Times New Roman" w:cs="Times New Roman"/>
              </w:rPr>
              <w:t>Obrazloženje:</w:t>
            </w:r>
          </w:p>
          <w:p w14:paraId="4D0199C9" w14:textId="43BB7AE1" w:rsidR="00162AA1" w:rsidRDefault="0053303F" w:rsidP="00CD3369">
            <w:pPr>
              <w:rPr>
                <w:rFonts w:ascii="Times New Roman" w:hAnsi="Times New Roman" w:cs="Times New Roman"/>
              </w:rPr>
            </w:pPr>
            <w:r>
              <w:rPr>
                <w:rFonts w:ascii="Times New Roman" w:hAnsi="Times New Roman" w:cs="Times New Roman"/>
              </w:rPr>
              <w:t>Naručitelj će prihvatiti vrijednosti koje proizvođač stavlja u katalog nuđenog proizvoda.</w:t>
            </w:r>
          </w:p>
          <w:p w14:paraId="4E53DE69" w14:textId="7FFB4BE7" w:rsidR="00CD3369" w:rsidRPr="00171039" w:rsidRDefault="00CD3369" w:rsidP="00CD3369">
            <w:pPr>
              <w:rPr>
                <w:rFonts w:ascii="Times New Roman" w:hAnsi="Times New Roman" w:cs="Times New Roman"/>
              </w:rPr>
            </w:pPr>
            <w:r>
              <w:rPr>
                <w:rFonts w:ascii="Times New Roman" w:hAnsi="Times New Roman" w:cs="Times New Roman"/>
              </w:rPr>
              <w:t>Kako ne možemo predvidjeti sve situacije, lokacije i okolnosti u kojima se vozilo i putnici u njemu mogu naći za vrijeme uporabe vozila, neosporno je neo</w:t>
            </w:r>
            <w:r w:rsidR="00B66C7D">
              <w:rPr>
                <w:rFonts w:ascii="Times New Roman" w:hAnsi="Times New Roman" w:cs="Times New Roman"/>
              </w:rPr>
              <w:t>p</w:t>
            </w:r>
            <w:r w:rsidR="0053303F">
              <w:rPr>
                <w:rFonts w:ascii="Times New Roman" w:hAnsi="Times New Roman" w:cs="Times New Roman"/>
              </w:rPr>
              <w:t xml:space="preserve">hodno uključiti ovaj parametar. </w:t>
            </w:r>
            <w:r w:rsidR="00B66C7D">
              <w:rPr>
                <w:rFonts w:ascii="Times New Roman" w:hAnsi="Times New Roman" w:cs="Times New Roman"/>
              </w:rPr>
              <w:t>Planirane rute vozila su po Centru grada, pa je poželjno vozilo s manjim radijusom okretanja.</w:t>
            </w:r>
          </w:p>
        </w:tc>
      </w:tr>
      <w:tr w:rsidR="00530FCF" w:rsidRPr="00171039" w14:paraId="59EFA920" w14:textId="77777777" w:rsidTr="00A864F3">
        <w:trPr>
          <w:trHeight w:val="253"/>
        </w:trPr>
        <w:tc>
          <w:tcPr>
            <w:tcW w:w="705" w:type="dxa"/>
          </w:tcPr>
          <w:p w14:paraId="02AC5C13" w14:textId="0D456E85" w:rsidR="00530FCF" w:rsidRPr="00171039" w:rsidRDefault="00530FCF" w:rsidP="00EF3B04">
            <w:pPr>
              <w:rPr>
                <w:rFonts w:ascii="Times New Roman" w:hAnsi="Times New Roman" w:cs="Times New Roman"/>
              </w:rPr>
            </w:pPr>
            <w:r>
              <w:rPr>
                <w:rFonts w:ascii="Times New Roman" w:hAnsi="Times New Roman" w:cs="Times New Roman"/>
              </w:rPr>
              <w:t>5.</w:t>
            </w:r>
          </w:p>
        </w:tc>
        <w:tc>
          <w:tcPr>
            <w:tcW w:w="4504" w:type="dxa"/>
            <w:gridSpan w:val="2"/>
          </w:tcPr>
          <w:p w14:paraId="6ABE58D9"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Mogućnost savladavanja uspona</w:t>
            </w:r>
          </w:p>
          <w:p w14:paraId="23636030" w14:textId="77777777" w:rsidR="00530FCF" w:rsidRPr="00530FCF" w:rsidRDefault="00530FCF" w:rsidP="00530FCF">
            <w:pPr>
              <w:rPr>
                <w:rFonts w:ascii="Times New Roman" w:hAnsi="Times New Roman" w:cs="Times New Roman"/>
              </w:rPr>
            </w:pPr>
          </w:p>
          <w:p w14:paraId="366DE5BC"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tablici u Poglavlju 4 „Opis predmeta nabave“, pod zahtijevanom mogućnosti savladavanja uspona navedena je IZRAZITO VISOKA VRIJEDNOST što sugerira da je riječ o greški.</w:t>
            </w:r>
          </w:p>
          <w:p w14:paraId="457416B6"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w:t>
            </w:r>
          </w:p>
          <w:p w14:paraId="11981CFC" w14:textId="77777777" w:rsidR="00530FCF" w:rsidRPr="00530FCF" w:rsidRDefault="00530FCF" w:rsidP="00530FCF">
            <w:pPr>
              <w:rPr>
                <w:rFonts w:ascii="Times New Roman" w:hAnsi="Times New Roman" w:cs="Times New Roman"/>
              </w:rPr>
            </w:pPr>
          </w:p>
          <w:p w14:paraId="139CB35C"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Obrazloženje</w:t>
            </w:r>
          </w:p>
          <w:p w14:paraId="7D9992A8" w14:textId="77777777" w:rsidR="00530FCF" w:rsidRPr="00530FCF" w:rsidRDefault="00530FCF" w:rsidP="00530FCF">
            <w:pPr>
              <w:rPr>
                <w:rFonts w:ascii="Times New Roman" w:hAnsi="Times New Roman" w:cs="Times New Roman"/>
              </w:rPr>
            </w:pPr>
          </w:p>
          <w:p w14:paraId="079C26C1"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Navedena zahtijevana vrijednost maksimalnog uspona od 20 stupnjeva kojeg predmetna vozila moraju savladavati je izrazito visoka i s velikom sigurnošću se može tvrditi da javnih prometnica s ovakvim usponom u Gradu Zagrebu nema. Čak i da je riječ o pogrešno navedenoj mjernoj jedinici, te da je umjesto „stupnjevi“ trebalo stajati „%“, navedena zahtijevana vrijednost je previsoka i teško da će se potrebe savladavanja ovako strmih uspona javiti u praksi u Gradu Zagrebu (npr. maksimalni uspon Mesničke ulice iznosi </w:t>
            </w:r>
            <w:proofErr w:type="spellStart"/>
            <w:r w:rsidRPr="00530FCF">
              <w:rPr>
                <w:rFonts w:ascii="Times New Roman" w:hAnsi="Times New Roman" w:cs="Times New Roman"/>
              </w:rPr>
              <w:t>cca</w:t>
            </w:r>
            <w:proofErr w:type="spellEnd"/>
            <w:r w:rsidRPr="00530FCF">
              <w:rPr>
                <w:rFonts w:ascii="Times New Roman" w:hAnsi="Times New Roman" w:cs="Times New Roman"/>
              </w:rPr>
              <w:t xml:space="preserve">. 14%).   </w:t>
            </w:r>
          </w:p>
          <w:p w14:paraId="0C876700" w14:textId="77777777" w:rsidR="00530FCF" w:rsidRPr="00530FCF" w:rsidRDefault="00530FCF" w:rsidP="00530FCF">
            <w:pPr>
              <w:rPr>
                <w:rFonts w:ascii="Times New Roman" w:hAnsi="Times New Roman" w:cs="Times New Roman"/>
              </w:rPr>
            </w:pPr>
          </w:p>
          <w:p w14:paraId="7686AD0D" w14:textId="77777777" w:rsidR="00530FCF" w:rsidRPr="00530FCF" w:rsidRDefault="00530FCF" w:rsidP="00530FCF">
            <w:pPr>
              <w:rPr>
                <w:rFonts w:ascii="Times New Roman" w:hAnsi="Times New Roman" w:cs="Times New Roman"/>
              </w:rPr>
            </w:pPr>
          </w:p>
          <w:p w14:paraId="27A9C5B5"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Prijedlog korekcije dokumentacije</w:t>
            </w:r>
          </w:p>
          <w:p w14:paraId="37127F81" w14:textId="77777777" w:rsidR="00530FCF" w:rsidRPr="00530FCF" w:rsidRDefault="00530FCF" w:rsidP="00530FCF">
            <w:pPr>
              <w:rPr>
                <w:rFonts w:ascii="Times New Roman" w:hAnsi="Times New Roman" w:cs="Times New Roman"/>
              </w:rPr>
            </w:pPr>
          </w:p>
          <w:p w14:paraId="2954F2D6" w14:textId="5BB24E08" w:rsidR="00530FCF" w:rsidRPr="00171039" w:rsidRDefault="00530FCF" w:rsidP="00530FCF">
            <w:pPr>
              <w:rPr>
                <w:rFonts w:ascii="Times New Roman" w:hAnsi="Times New Roman" w:cs="Times New Roman"/>
              </w:rPr>
            </w:pPr>
            <w:r w:rsidRPr="00530FCF">
              <w:rPr>
                <w:rFonts w:ascii="Times New Roman" w:hAnsi="Times New Roman" w:cs="Times New Roman"/>
              </w:rPr>
              <w:t>Predlaže se da se ova stavka izmijeni tako da glasi „Mogućnost savladavanja uspona: min 12%“.</w:t>
            </w:r>
          </w:p>
        </w:tc>
        <w:tc>
          <w:tcPr>
            <w:tcW w:w="4077" w:type="dxa"/>
          </w:tcPr>
          <w:p w14:paraId="25CD5743" w14:textId="77777777" w:rsidR="00530FCF" w:rsidRDefault="00CD3369" w:rsidP="00EF3B04">
            <w:pPr>
              <w:rPr>
                <w:rFonts w:ascii="Times New Roman" w:hAnsi="Times New Roman" w:cs="Times New Roman"/>
              </w:rPr>
            </w:pPr>
            <w:r>
              <w:rPr>
                <w:rFonts w:ascii="Times New Roman" w:hAnsi="Times New Roman" w:cs="Times New Roman"/>
              </w:rPr>
              <w:lastRenderedPageBreak/>
              <w:t xml:space="preserve">Prijedlog se djelomično prihvaća, te </w:t>
            </w:r>
            <w:r w:rsidR="00A92B0D">
              <w:rPr>
                <w:rFonts w:ascii="Times New Roman" w:hAnsi="Times New Roman" w:cs="Times New Roman"/>
              </w:rPr>
              <w:t>se traži izmjena dokumentacije na način da piše 20%.</w:t>
            </w:r>
          </w:p>
          <w:p w14:paraId="08211FDA" w14:textId="77777777" w:rsidR="00A92B0D" w:rsidRDefault="00A92B0D" w:rsidP="00EF3B04">
            <w:pPr>
              <w:rPr>
                <w:rFonts w:ascii="Times New Roman" w:hAnsi="Times New Roman" w:cs="Times New Roman"/>
              </w:rPr>
            </w:pPr>
          </w:p>
          <w:p w14:paraId="2F8AFD5D" w14:textId="77777777" w:rsidR="00A92B0D" w:rsidRDefault="00A92B0D" w:rsidP="00EF3B04">
            <w:pPr>
              <w:rPr>
                <w:rFonts w:ascii="Times New Roman" w:hAnsi="Times New Roman" w:cs="Times New Roman"/>
              </w:rPr>
            </w:pPr>
            <w:r>
              <w:rPr>
                <w:rFonts w:ascii="Times New Roman" w:hAnsi="Times New Roman" w:cs="Times New Roman"/>
              </w:rPr>
              <w:t>Obrazloženje:</w:t>
            </w:r>
          </w:p>
          <w:p w14:paraId="3AF4BC7C" w14:textId="5C605586" w:rsidR="00A92B0D" w:rsidRPr="00171039" w:rsidRDefault="00A92B0D" w:rsidP="00685022">
            <w:pPr>
              <w:rPr>
                <w:rFonts w:ascii="Times New Roman" w:hAnsi="Times New Roman" w:cs="Times New Roman"/>
              </w:rPr>
            </w:pPr>
            <w:r>
              <w:rPr>
                <w:rFonts w:ascii="Times New Roman" w:hAnsi="Times New Roman" w:cs="Times New Roman"/>
              </w:rPr>
              <w:t xml:space="preserve">Kako navodite da je maksimalni uspon Mesničke ulice 14%, a moguće je da će vozila i njome prometovati, nije prihvatljivo nabavljati vozila koja ne mogu </w:t>
            </w:r>
            <w:r>
              <w:rPr>
                <w:rFonts w:ascii="Times New Roman" w:hAnsi="Times New Roman" w:cs="Times New Roman"/>
              </w:rPr>
              <w:lastRenderedPageBreak/>
              <w:t>savladati taj uspon</w:t>
            </w:r>
            <w:r w:rsidR="00685022">
              <w:rPr>
                <w:rFonts w:ascii="Times New Roman" w:hAnsi="Times New Roman" w:cs="Times New Roman"/>
              </w:rPr>
              <w:t>.</w:t>
            </w:r>
            <w:r>
              <w:rPr>
                <w:rFonts w:ascii="Times New Roman" w:hAnsi="Times New Roman" w:cs="Times New Roman"/>
              </w:rPr>
              <w:t xml:space="preserve"> </w:t>
            </w:r>
            <w:r w:rsidR="00685022">
              <w:rPr>
                <w:rFonts w:ascii="Times New Roman" w:hAnsi="Times New Roman" w:cs="Times New Roman"/>
              </w:rPr>
              <w:t xml:space="preserve">Traženo savladavanje uspona od 20% </w:t>
            </w:r>
            <w:r>
              <w:rPr>
                <w:rFonts w:ascii="Times New Roman" w:hAnsi="Times New Roman" w:cs="Times New Roman"/>
              </w:rPr>
              <w:t>osigura</w:t>
            </w:r>
            <w:r w:rsidR="00685022">
              <w:rPr>
                <w:rFonts w:ascii="Times New Roman" w:hAnsi="Times New Roman" w:cs="Times New Roman"/>
              </w:rPr>
              <w:t>va</w:t>
            </w:r>
            <w:r>
              <w:rPr>
                <w:rFonts w:ascii="Times New Roman" w:hAnsi="Times New Roman" w:cs="Times New Roman"/>
              </w:rPr>
              <w:t xml:space="preserve"> da će</w:t>
            </w:r>
            <w:r w:rsidR="00685022">
              <w:rPr>
                <w:rFonts w:ascii="Times New Roman" w:hAnsi="Times New Roman" w:cs="Times New Roman"/>
              </w:rPr>
              <w:t xml:space="preserve"> vozilo </w:t>
            </w:r>
            <w:r>
              <w:rPr>
                <w:rFonts w:ascii="Times New Roman" w:hAnsi="Times New Roman" w:cs="Times New Roman"/>
              </w:rPr>
              <w:t xml:space="preserve"> moći savladati</w:t>
            </w:r>
            <w:r w:rsidR="00685022">
              <w:rPr>
                <w:rFonts w:ascii="Times New Roman" w:hAnsi="Times New Roman" w:cs="Times New Roman"/>
              </w:rPr>
              <w:t xml:space="preserve"> uspon Mesničke </w:t>
            </w:r>
            <w:r>
              <w:rPr>
                <w:rFonts w:ascii="Times New Roman" w:hAnsi="Times New Roman" w:cs="Times New Roman"/>
              </w:rPr>
              <w:t xml:space="preserve"> i </w:t>
            </w:r>
            <w:r w:rsidR="00685022">
              <w:rPr>
                <w:rFonts w:ascii="Times New Roman" w:hAnsi="Times New Roman" w:cs="Times New Roman"/>
              </w:rPr>
              <w:t>eventualno potreban nešto veći uspon.</w:t>
            </w:r>
          </w:p>
        </w:tc>
      </w:tr>
      <w:tr w:rsidR="00530FCF" w:rsidRPr="00171039" w14:paraId="06010436" w14:textId="77777777" w:rsidTr="00A864F3">
        <w:trPr>
          <w:trHeight w:val="253"/>
        </w:trPr>
        <w:tc>
          <w:tcPr>
            <w:tcW w:w="705" w:type="dxa"/>
          </w:tcPr>
          <w:p w14:paraId="7435D491" w14:textId="51997B6F" w:rsidR="00530FCF" w:rsidRPr="00171039" w:rsidRDefault="00530FCF" w:rsidP="00EF3B04">
            <w:pPr>
              <w:rPr>
                <w:rFonts w:ascii="Times New Roman" w:hAnsi="Times New Roman" w:cs="Times New Roman"/>
              </w:rPr>
            </w:pPr>
            <w:r>
              <w:rPr>
                <w:rFonts w:ascii="Times New Roman" w:hAnsi="Times New Roman" w:cs="Times New Roman"/>
              </w:rPr>
              <w:lastRenderedPageBreak/>
              <w:t>6.</w:t>
            </w:r>
          </w:p>
        </w:tc>
        <w:tc>
          <w:tcPr>
            <w:tcW w:w="4504" w:type="dxa"/>
            <w:gridSpan w:val="2"/>
          </w:tcPr>
          <w:p w14:paraId="5E6F32E9"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Duljina vozila</w:t>
            </w:r>
          </w:p>
          <w:p w14:paraId="6B00F30D" w14:textId="77777777" w:rsidR="00530FCF" w:rsidRPr="00530FCF" w:rsidRDefault="00530FCF" w:rsidP="00530FCF">
            <w:pPr>
              <w:rPr>
                <w:rFonts w:ascii="Times New Roman" w:hAnsi="Times New Roman" w:cs="Times New Roman"/>
              </w:rPr>
            </w:pPr>
          </w:p>
          <w:p w14:paraId="1E7934D5"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tablici u Poglavlju 4 „Opis predmeta nabave“, pod zahtijevanom maksimalnom duljinom vozila navedena je IZRAZITO RESTRIKTIVNA vrijednost kojom se bitno ograničava broj mogućih ponuditelja.</w:t>
            </w:r>
          </w:p>
          <w:p w14:paraId="2AEC93A4" w14:textId="77777777" w:rsidR="00530FCF" w:rsidRPr="00530FCF" w:rsidRDefault="00530FCF" w:rsidP="00530FCF">
            <w:pPr>
              <w:rPr>
                <w:rFonts w:ascii="Times New Roman" w:hAnsi="Times New Roman" w:cs="Times New Roman"/>
              </w:rPr>
            </w:pPr>
          </w:p>
          <w:p w14:paraId="744E0F4B" w14:textId="4F4B6854"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71ADB325" w14:textId="77777777" w:rsidR="00530FCF" w:rsidRPr="00530FCF" w:rsidRDefault="00530FCF" w:rsidP="00530FCF">
            <w:pPr>
              <w:rPr>
                <w:rFonts w:ascii="Times New Roman" w:hAnsi="Times New Roman" w:cs="Times New Roman"/>
              </w:rPr>
            </w:pPr>
          </w:p>
          <w:p w14:paraId="2FBE78DF"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Navedena vrijednost maksimalne zahtijevane duljine vozila restriktivna je i Naručitelju bitno smanjuje izbor mogućih modela vozila. Tako na primjer navedenom se zahtijevanom vrijednošću onemogućava podnošenje ponude renomiranim </w:t>
            </w:r>
            <w:proofErr w:type="spellStart"/>
            <w:r w:rsidRPr="00530FCF">
              <w:rPr>
                <w:rFonts w:ascii="Times New Roman" w:hAnsi="Times New Roman" w:cs="Times New Roman"/>
              </w:rPr>
              <w:t>brendovima</w:t>
            </w:r>
            <w:proofErr w:type="spellEnd"/>
            <w:r w:rsidRPr="00530FCF">
              <w:rPr>
                <w:rFonts w:ascii="Times New Roman" w:hAnsi="Times New Roman" w:cs="Times New Roman"/>
              </w:rPr>
              <w:t xml:space="preserve"> kao što su </w:t>
            </w:r>
            <w:proofErr w:type="spellStart"/>
            <w:r w:rsidRPr="00530FCF">
              <w:rPr>
                <w:rFonts w:ascii="Times New Roman" w:hAnsi="Times New Roman" w:cs="Times New Roman"/>
              </w:rPr>
              <w:t>Melex</w:t>
            </w:r>
            <w:proofErr w:type="spellEnd"/>
            <w:r w:rsidRPr="00530FCF">
              <w:rPr>
                <w:rFonts w:ascii="Times New Roman" w:hAnsi="Times New Roman" w:cs="Times New Roman"/>
              </w:rPr>
              <w:t xml:space="preserve"> ili </w:t>
            </w:r>
            <w:proofErr w:type="spellStart"/>
            <w:r w:rsidRPr="00530FCF">
              <w:rPr>
                <w:rFonts w:ascii="Times New Roman" w:hAnsi="Times New Roman" w:cs="Times New Roman"/>
              </w:rPr>
              <w:t>Italcar</w:t>
            </w:r>
            <w:proofErr w:type="spellEnd"/>
            <w:r w:rsidRPr="00530FCF">
              <w:rPr>
                <w:rFonts w:ascii="Times New Roman" w:hAnsi="Times New Roman" w:cs="Times New Roman"/>
              </w:rPr>
              <w:t xml:space="preserve"> čija vozila spadaju u red najprodavanijih na tržištu regije i obilato su isprobana u sličnim primjerima prijevoza putnika u praksi. U tom kontekstu, zadržavanjem navedene vrijednosti zahtijevane maksimalne duljine vozila može se steći dojam preferiranja pojedinih ili čak jednog </w:t>
            </w:r>
            <w:proofErr w:type="spellStart"/>
            <w:r w:rsidRPr="00530FCF">
              <w:rPr>
                <w:rFonts w:ascii="Times New Roman" w:hAnsi="Times New Roman" w:cs="Times New Roman"/>
              </w:rPr>
              <w:t>brenda</w:t>
            </w:r>
            <w:proofErr w:type="spellEnd"/>
            <w:r w:rsidRPr="00530FCF">
              <w:rPr>
                <w:rFonts w:ascii="Times New Roman" w:hAnsi="Times New Roman" w:cs="Times New Roman"/>
              </w:rPr>
              <w:t>/modela vozila. Nadalje, budući da dulja vozila u pravilu jamče veću udobnost putnika, s obzirom da se ne očekuje prometovanje predmetnih vozila u skučenim ambijentima, u potpunosti nije jasno kojom se argumentacijom rukovodio Naručitelj pri navođenju ovakvog restriktivnog zahtjeva.</w:t>
            </w:r>
          </w:p>
          <w:p w14:paraId="392FC22D" w14:textId="77777777" w:rsidR="00530FCF" w:rsidRPr="00530FCF" w:rsidRDefault="00530FCF" w:rsidP="00530FCF">
            <w:pPr>
              <w:rPr>
                <w:rFonts w:ascii="Times New Roman" w:hAnsi="Times New Roman" w:cs="Times New Roman"/>
              </w:rPr>
            </w:pPr>
          </w:p>
          <w:p w14:paraId="4130A4F6" w14:textId="1AEE48D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w:t>
            </w:r>
          </w:p>
          <w:p w14:paraId="023553C1"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Prijedlog korekcije dokumentacije</w:t>
            </w:r>
          </w:p>
          <w:p w14:paraId="52DAB32F" w14:textId="77777777" w:rsidR="00530FCF" w:rsidRPr="00530FCF" w:rsidRDefault="00530FCF" w:rsidP="00530FCF">
            <w:pPr>
              <w:rPr>
                <w:rFonts w:ascii="Times New Roman" w:hAnsi="Times New Roman" w:cs="Times New Roman"/>
              </w:rPr>
            </w:pPr>
          </w:p>
          <w:p w14:paraId="5028BC55" w14:textId="2B18E207" w:rsidR="00530FCF" w:rsidRPr="00171039" w:rsidRDefault="00530FCF" w:rsidP="00530FCF">
            <w:pPr>
              <w:rPr>
                <w:rFonts w:ascii="Times New Roman" w:hAnsi="Times New Roman" w:cs="Times New Roman"/>
              </w:rPr>
            </w:pPr>
            <w:r w:rsidRPr="00530FCF">
              <w:rPr>
                <w:rFonts w:ascii="Times New Roman" w:hAnsi="Times New Roman" w:cs="Times New Roman"/>
              </w:rPr>
              <w:t xml:space="preserve">Kako bi se Naručitelju pružila mogućnost izbora iz većeg broja potencijalnih modela vozila, predlaže se da se ova stavka izmijeni tako da glasi: „Duljina vozila: </w:t>
            </w:r>
            <w:proofErr w:type="spellStart"/>
            <w:r w:rsidRPr="00530FCF">
              <w:rPr>
                <w:rFonts w:ascii="Times New Roman" w:hAnsi="Times New Roman" w:cs="Times New Roman"/>
              </w:rPr>
              <w:t>max</w:t>
            </w:r>
            <w:proofErr w:type="spellEnd"/>
            <w:r w:rsidRPr="00530FCF">
              <w:rPr>
                <w:rFonts w:ascii="Times New Roman" w:hAnsi="Times New Roman" w:cs="Times New Roman"/>
              </w:rPr>
              <w:t xml:space="preserve">. 4.800 mm“.  </w:t>
            </w:r>
          </w:p>
        </w:tc>
        <w:tc>
          <w:tcPr>
            <w:tcW w:w="4077" w:type="dxa"/>
          </w:tcPr>
          <w:p w14:paraId="17D8198E" w14:textId="4C70A4FB" w:rsidR="00512A15" w:rsidRDefault="00C07CB5" w:rsidP="00EF3B04">
            <w:pPr>
              <w:rPr>
                <w:rFonts w:ascii="Times New Roman" w:hAnsi="Times New Roman" w:cs="Times New Roman"/>
              </w:rPr>
            </w:pPr>
            <w:r>
              <w:rPr>
                <w:rFonts w:ascii="Times New Roman" w:hAnsi="Times New Roman" w:cs="Times New Roman"/>
              </w:rPr>
              <w:t>Prijedlog</w:t>
            </w:r>
            <w:r w:rsidR="00512A15">
              <w:rPr>
                <w:rFonts w:ascii="Times New Roman" w:hAnsi="Times New Roman" w:cs="Times New Roman"/>
              </w:rPr>
              <w:t xml:space="preserve"> se ne prihvaća.</w:t>
            </w:r>
          </w:p>
          <w:p w14:paraId="58591F7F" w14:textId="77777777" w:rsidR="00512A15" w:rsidRDefault="00512A15" w:rsidP="00EF3B04">
            <w:pPr>
              <w:rPr>
                <w:rFonts w:ascii="Times New Roman" w:hAnsi="Times New Roman" w:cs="Times New Roman"/>
              </w:rPr>
            </w:pPr>
          </w:p>
          <w:p w14:paraId="6E1A2CD7" w14:textId="77777777" w:rsidR="00512A15" w:rsidRDefault="00512A15" w:rsidP="00EF3B04">
            <w:pPr>
              <w:rPr>
                <w:rFonts w:ascii="Times New Roman" w:hAnsi="Times New Roman" w:cs="Times New Roman"/>
              </w:rPr>
            </w:pPr>
          </w:p>
          <w:p w14:paraId="0F5E509E" w14:textId="177BC1EC" w:rsidR="00530FCF" w:rsidRDefault="00A92B0D" w:rsidP="00EF3B04">
            <w:pPr>
              <w:rPr>
                <w:rFonts w:ascii="Times New Roman" w:hAnsi="Times New Roman" w:cs="Times New Roman"/>
              </w:rPr>
            </w:pPr>
            <w:r>
              <w:rPr>
                <w:rFonts w:ascii="Times New Roman" w:hAnsi="Times New Roman" w:cs="Times New Roman"/>
              </w:rPr>
              <w:t>Obrazloženje:</w:t>
            </w:r>
          </w:p>
          <w:p w14:paraId="01CB32DC" w14:textId="2332EA73" w:rsidR="00A92B0D" w:rsidRDefault="00685022" w:rsidP="00EF3B04">
            <w:pPr>
              <w:rPr>
                <w:rFonts w:ascii="Times New Roman" w:hAnsi="Times New Roman" w:cs="Times New Roman"/>
              </w:rPr>
            </w:pPr>
            <w:r>
              <w:rPr>
                <w:rFonts w:ascii="Times New Roman" w:hAnsi="Times New Roman" w:cs="Times New Roman"/>
              </w:rPr>
              <w:t>Kako je svaki grad prostorno-geografski i klimatski drugačiji te urbanistički različit, nije moguće primijeniti mjerilo najprodavanijih vozila u regiji, već je Naručitelj odredio maksimalnu duljinu vozila sukladno prometnim i geografskim uvjetima područja u kojima se planira da će tražena vozila prometovati. Očekuje se prometovanje vozila u skučenim uvjetima ulica Gornjeg grada te prometnih i pješačkih gužvi u vrijeme Adventa i drugih događanja u Centru grada te Naručitelj ostaje pri prvotno traženom.</w:t>
            </w:r>
          </w:p>
          <w:p w14:paraId="45CDDF6C" w14:textId="77777777" w:rsidR="00A92B0D" w:rsidRPr="00171039" w:rsidRDefault="00A92B0D" w:rsidP="00EF3B04">
            <w:pPr>
              <w:rPr>
                <w:rFonts w:ascii="Times New Roman" w:hAnsi="Times New Roman" w:cs="Times New Roman"/>
              </w:rPr>
            </w:pPr>
          </w:p>
        </w:tc>
      </w:tr>
      <w:tr w:rsidR="00530FCF" w:rsidRPr="00171039" w14:paraId="791E6B3D" w14:textId="77777777" w:rsidTr="00A864F3">
        <w:trPr>
          <w:trHeight w:val="253"/>
        </w:trPr>
        <w:tc>
          <w:tcPr>
            <w:tcW w:w="705" w:type="dxa"/>
          </w:tcPr>
          <w:p w14:paraId="0EF2798B" w14:textId="6B6AD745" w:rsidR="00530FCF" w:rsidRPr="00171039" w:rsidRDefault="00530FCF" w:rsidP="00EF3B04">
            <w:pPr>
              <w:rPr>
                <w:rFonts w:ascii="Times New Roman" w:hAnsi="Times New Roman" w:cs="Times New Roman"/>
              </w:rPr>
            </w:pPr>
            <w:r>
              <w:rPr>
                <w:rFonts w:ascii="Times New Roman" w:hAnsi="Times New Roman" w:cs="Times New Roman"/>
              </w:rPr>
              <w:lastRenderedPageBreak/>
              <w:t>7.</w:t>
            </w:r>
          </w:p>
        </w:tc>
        <w:tc>
          <w:tcPr>
            <w:tcW w:w="4504" w:type="dxa"/>
            <w:gridSpan w:val="2"/>
          </w:tcPr>
          <w:p w14:paraId="67CD06C4"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Težina vozila</w:t>
            </w:r>
          </w:p>
          <w:p w14:paraId="3F897B59" w14:textId="77777777" w:rsidR="00530FCF" w:rsidRPr="00530FCF" w:rsidRDefault="00530FCF" w:rsidP="00530FCF">
            <w:pPr>
              <w:rPr>
                <w:rFonts w:ascii="Times New Roman" w:hAnsi="Times New Roman" w:cs="Times New Roman"/>
              </w:rPr>
            </w:pPr>
          </w:p>
          <w:p w14:paraId="184DDFA0"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tablici u Poglavlju 4 „Opis predmeta nabave“, pod zahtijevanom težinom vozila navedena je vrijednost koja je TEŠKO PROVJERLJIVA u praksi što otvara prostor pogrešnim interpretacijama i manipulacijama. Također, navedena vrijednost je IZRAZITO RESTRIKTIVNA te se njome bitno ograničava broj mogućih ponuditelja.</w:t>
            </w:r>
          </w:p>
          <w:p w14:paraId="7E88ABE0" w14:textId="77777777" w:rsidR="00530FCF" w:rsidRPr="00530FCF" w:rsidRDefault="00530FCF" w:rsidP="00530FCF">
            <w:pPr>
              <w:rPr>
                <w:rFonts w:ascii="Times New Roman" w:hAnsi="Times New Roman" w:cs="Times New Roman"/>
              </w:rPr>
            </w:pPr>
          </w:p>
          <w:p w14:paraId="0FFA21B5" w14:textId="4622670A"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09EBDC12" w14:textId="77777777" w:rsidR="00530FCF" w:rsidRPr="00530FCF" w:rsidRDefault="00530FCF" w:rsidP="00530FCF">
            <w:pPr>
              <w:rPr>
                <w:rFonts w:ascii="Times New Roman" w:hAnsi="Times New Roman" w:cs="Times New Roman"/>
              </w:rPr>
            </w:pPr>
          </w:p>
          <w:p w14:paraId="386664AC"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Sukladno Pravilniku o tehničkim uvjetima za turističko vozilo (NN 86/2015), vozila koja su predmetom nabave potrebno je dodatno opremiti propisanim komponentama pasivne sigurnosti putnika. Ugradnja ovih komponenti povećava ukupnu masu vozila, a budući se one ugrađuju naknadno od strane Ponuditelja te Pravilnikom NIJE PROPISAN njihov točan tip ili vrsta, konačna masa vozila će odstupati od one deklarirane od strane proizvođača vozila. U tom kontekstu se kataloška vrijednost mase ponuđenog vozila može držati ništavnom budući da ona može bitno odstupati od stvarne mase vozila s ugrađenim propisanim komponentama.</w:t>
            </w:r>
          </w:p>
          <w:p w14:paraId="4B30F4EC" w14:textId="77777777" w:rsidR="00530FCF" w:rsidRPr="00530FCF" w:rsidRDefault="00530FCF" w:rsidP="00530FCF">
            <w:pPr>
              <w:rPr>
                <w:rFonts w:ascii="Times New Roman" w:hAnsi="Times New Roman" w:cs="Times New Roman"/>
              </w:rPr>
            </w:pPr>
          </w:p>
          <w:p w14:paraId="5EC5F82A" w14:textId="30D7C78C"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w:t>
            </w:r>
          </w:p>
          <w:p w14:paraId="6BCE5AD7"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Nadalje, postavljanjem zahtjeva za maksimalnu masu vozila sugerira se da Naručitelj drži kako vozila manje mase pružaju višu razinu kvalitete što je pogrešno i ne može se ničim argumentirati. Naprotiv, vozila veće mase u pravilu su većih gabarita i robusnosti, čime se jamči bolja udobnost putnika, viša razina njihove sigurnosti te dugovječnost vozila.       </w:t>
            </w:r>
          </w:p>
          <w:p w14:paraId="667FE669" w14:textId="77777777" w:rsidR="00530FCF" w:rsidRPr="00530FCF" w:rsidRDefault="00530FCF" w:rsidP="00530FCF">
            <w:pPr>
              <w:rPr>
                <w:rFonts w:ascii="Times New Roman" w:hAnsi="Times New Roman" w:cs="Times New Roman"/>
              </w:rPr>
            </w:pPr>
          </w:p>
          <w:p w14:paraId="35E63575" w14:textId="77777777" w:rsidR="00530FCF" w:rsidRPr="00530FCF" w:rsidRDefault="00530FCF" w:rsidP="00530FCF">
            <w:pPr>
              <w:rPr>
                <w:rFonts w:ascii="Times New Roman" w:hAnsi="Times New Roman" w:cs="Times New Roman"/>
              </w:rPr>
            </w:pPr>
          </w:p>
          <w:p w14:paraId="5B9DA67D"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Prijedlog korekcije dokumentacije</w:t>
            </w:r>
          </w:p>
          <w:p w14:paraId="4A08F335" w14:textId="77777777" w:rsidR="00530FCF" w:rsidRPr="00530FCF" w:rsidRDefault="00530FCF" w:rsidP="00530FCF">
            <w:pPr>
              <w:rPr>
                <w:rFonts w:ascii="Times New Roman" w:hAnsi="Times New Roman" w:cs="Times New Roman"/>
              </w:rPr>
            </w:pPr>
          </w:p>
          <w:p w14:paraId="072D854B" w14:textId="54672460" w:rsidR="00530FCF" w:rsidRPr="00171039" w:rsidRDefault="00530FCF" w:rsidP="00530FCF">
            <w:pPr>
              <w:rPr>
                <w:rFonts w:ascii="Times New Roman" w:hAnsi="Times New Roman" w:cs="Times New Roman"/>
              </w:rPr>
            </w:pPr>
            <w:r w:rsidRPr="00530FCF">
              <w:rPr>
                <w:rFonts w:ascii="Times New Roman" w:hAnsi="Times New Roman" w:cs="Times New Roman"/>
              </w:rPr>
              <w:t>Zbog gore obrazložene nemogućnosti provjere ukupne mase vozila s ugrađenom dodatnom opremom, kao i zbog nemogućnosti odabira smislenog praga maksimalne vrijednosti mase vozila, predlaže se da se ova stavka briše iz Dokumentacije.</w:t>
            </w:r>
          </w:p>
        </w:tc>
        <w:tc>
          <w:tcPr>
            <w:tcW w:w="4077" w:type="dxa"/>
          </w:tcPr>
          <w:p w14:paraId="59E3AFFE" w14:textId="6F21DBBF" w:rsidR="00530FCF" w:rsidRDefault="00C07CB5" w:rsidP="00EF3B04">
            <w:pPr>
              <w:rPr>
                <w:rFonts w:ascii="Times New Roman" w:hAnsi="Times New Roman" w:cs="Times New Roman"/>
              </w:rPr>
            </w:pPr>
            <w:r>
              <w:rPr>
                <w:rFonts w:ascii="Times New Roman" w:hAnsi="Times New Roman" w:cs="Times New Roman"/>
              </w:rPr>
              <w:t>Prijedlog</w:t>
            </w:r>
            <w:r w:rsidR="00512A15">
              <w:rPr>
                <w:rFonts w:ascii="Times New Roman" w:hAnsi="Times New Roman" w:cs="Times New Roman"/>
              </w:rPr>
              <w:t xml:space="preserve"> se ne prihvaća.</w:t>
            </w:r>
          </w:p>
          <w:p w14:paraId="2BE2BF88" w14:textId="77777777" w:rsidR="00FA0F84" w:rsidRDefault="00FA0F84" w:rsidP="00EF3B04">
            <w:pPr>
              <w:rPr>
                <w:rFonts w:ascii="Times New Roman" w:hAnsi="Times New Roman" w:cs="Times New Roman"/>
              </w:rPr>
            </w:pPr>
          </w:p>
          <w:p w14:paraId="4B90AD2F" w14:textId="77777777" w:rsidR="00512A15" w:rsidRDefault="00512A15" w:rsidP="00EF3B04">
            <w:pPr>
              <w:rPr>
                <w:rFonts w:ascii="Times New Roman" w:hAnsi="Times New Roman" w:cs="Times New Roman"/>
              </w:rPr>
            </w:pPr>
            <w:r>
              <w:rPr>
                <w:rFonts w:ascii="Times New Roman" w:hAnsi="Times New Roman" w:cs="Times New Roman"/>
              </w:rPr>
              <w:t>Obrazloženje:</w:t>
            </w:r>
          </w:p>
          <w:p w14:paraId="34DA805A" w14:textId="77777777" w:rsidR="00512A15" w:rsidRDefault="00512A15" w:rsidP="00EF3B04">
            <w:pPr>
              <w:rPr>
                <w:rFonts w:ascii="Times New Roman" w:hAnsi="Times New Roman" w:cs="Times New Roman"/>
              </w:rPr>
            </w:pPr>
            <w:r>
              <w:rPr>
                <w:rFonts w:ascii="Times New Roman" w:hAnsi="Times New Roman" w:cs="Times New Roman"/>
              </w:rPr>
              <w:t>Dodatne komponente pasivne sigurnosti putnika moraju ugraditi svi</w:t>
            </w:r>
            <w:r w:rsidR="00FA0F84">
              <w:rPr>
                <w:rFonts w:ascii="Times New Roman" w:hAnsi="Times New Roman" w:cs="Times New Roman"/>
              </w:rPr>
              <w:t xml:space="preserve"> Ponuditelji, te se kao takve neće uzimati u obzir. Pri kontroli ponuda gledat će se samo kataloška vrijednost mase ponuđenog vozila.</w:t>
            </w:r>
          </w:p>
          <w:p w14:paraId="785F3FC5" w14:textId="0B232EC6" w:rsidR="00FA0F84" w:rsidRPr="00171039" w:rsidRDefault="00FA0F84" w:rsidP="00FA0F84">
            <w:pPr>
              <w:rPr>
                <w:rFonts w:ascii="Times New Roman" w:hAnsi="Times New Roman" w:cs="Times New Roman"/>
              </w:rPr>
            </w:pPr>
            <w:r>
              <w:rPr>
                <w:rFonts w:ascii="Times New Roman" w:hAnsi="Times New Roman" w:cs="Times New Roman"/>
              </w:rPr>
              <w:t>Naručitelj se ne slaže s navodom da veća masa vozila i veći gabariti jamče veću udobnost putnika, jer ni to nije dokazivo ili mjerljivo te ostaje pri svom uvjetu.</w:t>
            </w:r>
          </w:p>
        </w:tc>
      </w:tr>
      <w:tr w:rsidR="00530FCF" w:rsidRPr="00171039" w14:paraId="7EF867B1" w14:textId="77777777" w:rsidTr="00A864F3">
        <w:trPr>
          <w:trHeight w:val="253"/>
        </w:trPr>
        <w:tc>
          <w:tcPr>
            <w:tcW w:w="705" w:type="dxa"/>
          </w:tcPr>
          <w:p w14:paraId="7A714798" w14:textId="0850CD81" w:rsidR="00530FCF" w:rsidRPr="00171039" w:rsidRDefault="00530FCF" w:rsidP="00EF3B04">
            <w:pPr>
              <w:rPr>
                <w:rFonts w:ascii="Times New Roman" w:hAnsi="Times New Roman" w:cs="Times New Roman"/>
              </w:rPr>
            </w:pPr>
            <w:r>
              <w:rPr>
                <w:rFonts w:ascii="Times New Roman" w:hAnsi="Times New Roman" w:cs="Times New Roman"/>
              </w:rPr>
              <w:t>8.</w:t>
            </w:r>
          </w:p>
        </w:tc>
        <w:tc>
          <w:tcPr>
            <w:tcW w:w="4504" w:type="dxa"/>
            <w:gridSpan w:val="2"/>
          </w:tcPr>
          <w:p w14:paraId="4D908EDA"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Međuosovinski razmak</w:t>
            </w:r>
          </w:p>
          <w:p w14:paraId="3DC51B09" w14:textId="77777777" w:rsidR="00530FCF" w:rsidRPr="00530FCF" w:rsidRDefault="00530FCF" w:rsidP="00530FCF">
            <w:pPr>
              <w:rPr>
                <w:rFonts w:ascii="Times New Roman" w:hAnsi="Times New Roman" w:cs="Times New Roman"/>
              </w:rPr>
            </w:pPr>
          </w:p>
          <w:p w14:paraId="4DAAF9F1"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tablici u Poglavlju 4 „Opis predmeta nabave“, pod zahtijevanom vrijednošću međuosovinskog razmaka vozila navedena je IZRAZITO RESTRIKTIVNA vrijednost kojom se bitno ograničava broj mogućih ponuditelja.</w:t>
            </w:r>
          </w:p>
          <w:p w14:paraId="33436BF1" w14:textId="77777777" w:rsidR="00530FCF" w:rsidRPr="00530FCF" w:rsidRDefault="00530FCF" w:rsidP="00530FCF">
            <w:pPr>
              <w:rPr>
                <w:rFonts w:ascii="Times New Roman" w:hAnsi="Times New Roman" w:cs="Times New Roman"/>
              </w:rPr>
            </w:pPr>
          </w:p>
          <w:p w14:paraId="75CE9855" w14:textId="3DB1726B"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11B6FC21" w14:textId="77777777" w:rsidR="00530FCF" w:rsidRPr="00530FCF" w:rsidRDefault="00530FCF" w:rsidP="00530FCF">
            <w:pPr>
              <w:rPr>
                <w:rFonts w:ascii="Times New Roman" w:hAnsi="Times New Roman" w:cs="Times New Roman"/>
              </w:rPr>
            </w:pPr>
          </w:p>
          <w:p w14:paraId="33F32C38"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lastRenderedPageBreak/>
              <w:t>Vidi pod 6)</w:t>
            </w:r>
          </w:p>
          <w:p w14:paraId="12F43CF5" w14:textId="77777777" w:rsidR="00530FCF" w:rsidRPr="00530FCF" w:rsidRDefault="00530FCF" w:rsidP="00530FCF">
            <w:pPr>
              <w:rPr>
                <w:rFonts w:ascii="Times New Roman" w:hAnsi="Times New Roman" w:cs="Times New Roman"/>
              </w:rPr>
            </w:pPr>
          </w:p>
          <w:p w14:paraId="252BAE06" w14:textId="3AF71316"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Prijedlog korekcije dokumentacije</w:t>
            </w:r>
          </w:p>
          <w:p w14:paraId="17BFD8B9" w14:textId="77777777" w:rsidR="00530FCF" w:rsidRPr="00530FCF" w:rsidRDefault="00530FCF" w:rsidP="00530FCF">
            <w:pPr>
              <w:rPr>
                <w:rFonts w:ascii="Times New Roman" w:hAnsi="Times New Roman" w:cs="Times New Roman"/>
              </w:rPr>
            </w:pPr>
          </w:p>
          <w:p w14:paraId="66D48F92" w14:textId="35EA020E" w:rsidR="00530FCF" w:rsidRPr="00171039" w:rsidRDefault="00530FCF" w:rsidP="00530FCF">
            <w:pPr>
              <w:rPr>
                <w:rFonts w:ascii="Times New Roman" w:hAnsi="Times New Roman" w:cs="Times New Roman"/>
              </w:rPr>
            </w:pPr>
            <w:r w:rsidRPr="00530FCF">
              <w:rPr>
                <w:rFonts w:ascii="Times New Roman" w:hAnsi="Times New Roman" w:cs="Times New Roman"/>
              </w:rPr>
              <w:t xml:space="preserve">Kako bi se Naručitelju pružila mogućnost izbora iz većeg broja potencijalnih modela vozila, predlaže se da se ova stavka izmijeni tako da glasi: „Međuosovinski razmak: </w:t>
            </w:r>
            <w:proofErr w:type="spellStart"/>
            <w:r w:rsidRPr="00530FCF">
              <w:rPr>
                <w:rFonts w:ascii="Times New Roman" w:hAnsi="Times New Roman" w:cs="Times New Roman"/>
              </w:rPr>
              <w:t>max</w:t>
            </w:r>
            <w:proofErr w:type="spellEnd"/>
            <w:r w:rsidRPr="00530FCF">
              <w:rPr>
                <w:rFonts w:ascii="Times New Roman" w:hAnsi="Times New Roman" w:cs="Times New Roman"/>
              </w:rPr>
              <w:t>. 3.500 mm“.</w:t>
            </w:r>
          </w:p>
        </w:tc>
        <w:tc>
          <w:tcPr>
            <w:tcW w:w="4077" w:type="dxa"/>
          </w:tcPr>
          <w:p w14:paraId="1876113F" w14:textId="77777777" w:rsidR="00530FCF" w:rsidRDefault="00C07CB5" w:rsidP="00EF3B04">
            <w:pPr>
              <w:rPr>
                <w:rFonts w:ascii="Times New Roman" w:hAnsi="Times New Roman" w:cs="Times New Roman"/>
              </w:rPr>
            </w:pPr>
            <w:r>
              <w:rPr>
                <w:rFonts w:ascii="Times New Roman" w:hAnsi="Times New Roman" w:cs="Times New Roman"/>
              </w:rPr>
              <w:lastRenderedPageBreak/>
              <w:t>Primjedba se ne prihvaća.</w:t>
            </w:r>
          </w:p>
          <w:p w14:paraId="2618FA41" w14:textId="77777777" w:rsidR="00C07CB5" w:rsidRDefault="00C07CB5" w:rsidP="00EF3B04">
            <w:pPr>
              <w:rPr>
                <w:rFonts w:ascii="Times New Roman" w:hAnsi="Times New Roman" w:cs="Times New Roman"/>
              </w:rPr>
            </w:pPr>
          </w:p>
          <w:p w14:paraId="27454557" w14:textId="77777777" w:rsidR="00C07CB5" w:rsidRDefault="00C07CB5" w:rsidP="00EF3B04">
            <w:pPr>
              <w:rPr>
                <w:rFonts w:ascii="Times New Roman" w:hAnsi="Times New Roman" w:cs="Times New Roman"/>
              </w:rPr>
            </w:pPr>
            <w:r>
              <w:rPr>
                <w:rFonts w:ascii="Times New Roman" w:hAnsi="Times New Roman" w:cs="Times New Roman"/>
              </w:rPr>
              <w:t>Obrazloženje:</w:t>
            </w:r>
          </w:p>
          <w:p w14:paraId="0394CFE6" w14:textId="2781D726" w:rsidR="00C07CB5" w:rsidRPr="00171039" w:rsidRDefault="00C07CB5" w:rsidP="00EF3B04">
            <w:pPr>
              <w:rPr>
                <w:rFonts w:ascii="Times New Roman" w:hAnsi="Times New Roman" w:cs="Times New Roman"/>
              </w:rPr>
            </w:pPr>
            <w:r>
              <w:rPr>
                <w:rFonts w:ascii="Times New Roman" w:hAnsi="Times New Roman" w:cs="Times New Roman"/>
              </w:rPr>
              <w:t>Obzirom da Naručitelj ostaje pri traženoj maksimalnoj duljini vozila, nema potrebe za promjenom ove dimenzije.</w:t>
            </w:r>
          </w:p>
        </w:tc>
      </w:tr>
      <w:tr w:rsidR="00530FCF" w:rsidRPr="00171039" w14:paraId="50A0CD83" w14:textId="77777777" w:rsidTr="00A864F3">
        <w:trPr>
          <w:trHeight w:val="253"/>
        </w:trPr>
        <w:tc>
          <w:tcPr>
            <w:tcW w:w="705" w:type="dxa"/>
          </w:tcPr>
          <w:p w14:paraId="01413BB9" w14:textId="04805796" w:rsidR="00530FCF" w:rsidRPr="00171039" w:rsidRDefault="00530FCF" w:rsidP="00EF3B04">
            <w:pPr>
              <w:rPr>
                <w:rFonts w:ascii="Times New Roman" w:hAnsi="Times New Roman" w:cs="Times New Roman"/>
              </w:rPr>
            </w:pPr>
            <w:r>
              <w:rPr>
                <w:rFonts w:ascii="Times New Roman" w:hAnsi="Times New Roman" w:cs="Times New Roman"/>
              </w:rPr>
              <w:lastRenderedPageBreak/>
              <w:t>9.</w:t>
            </w:r>
          </w:p>
        </w:tc>
        <w:tc>
          <w:tcPr>
            <w:tcW w:w="4504" w:type="dxa"/>
            <w:gridSpan w:val="2"/>
          </w:tcPr>
          <w:p w14:paraId="16342455"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Mehanički kočioni sustav</w:t>
            </w:r>
          </w:p>
          <w:p w14:paraId="69627DD5" w14:textId="77777777" w:rsidR="00530FCF" w:rsidRPr="00530FCF" w:rsidRDefault="00530FCF" w:rsidP="00530FCF">
            <w:pPr>
              <w:rPr>
                <w:rFonts w:ascii="Times New Roman" w:hAnsi="Times New Roman" w:cs="Times New Roman"/>
              </w:rPr>
            </w:pPr>
          </w:p>
          <w:p w14:paraId="028253FC"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U tablici u Poglavlju 4 „Opis predmeta nabave“, pod zahtijevanom vrijednošću kočionog sustava navedeno je tehničko rješenje s mehaničkim kočnicama što je za zadane uvjete prijevoza ljudi razmjerno strmim ulicama IZRAZITO OPASNO.</w:t>
            </w:r>
          </w:p>
          <w:p w14:paraId="5CDCAAD5" w14:textId="77777777" w:rsidR="00530FCF" w:rsidRPr="00530FCF" w:rsidRDefault="00530FCF" w:rsidP="00530FCF">
            <w:pPr>
              <w:rPr>
                <w:rFonts w:ascii="Times New Roman" w:hAnsi="Times New Roman" w:cs="Times New Roman"/>
              </w:rPr>
            </w:pPr>
          </w:p>
          <w:p w14:paraId="404F0CB0" w14:textId="3970D7B4"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Obrazloženje</w:t>
            </w:r>
          </w:p>
          <w:p w14:paraId="33A69421" w14:textId="77777777" w:rsidR="00530FCF" w:rsidRPr="00530FCF" w:rsidRDefault="00530FCF" w:rsidP="00530FCF">
            <w:pPr>
              <w:rPr>
                <w:rFonts w:ascii="Times New Roman" w:hAnsi="Times New Roman" w:cs="Times New Roman"/>
              </w:rPr>
            </w:pPr>
          </w:p>
          <w:p w14:paraId="188D87D0"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Predloženi kočioni sustav vozila s mehaničkim kočnicama samo na stražnjoj osovini za zadane uvjete prometovanja predstavlja izrazito loše tehničko rješenje zbog sljedećeg:</w:t>
            </w:r>
          </w:p>
          <w:p w14:paraId="089FF787" w14:textId="77777777" w:rsidR="00530FCF" w:rsidRPr="00530FCF" w:rsidRDefault="00530FCF" w:rsidP="00530FCF">
            <w:pPr>
              <w:rPr>
                <w:rFonts w:ascii="Times New Roman" w:hAnsi="Times New Roman" w:cs="Times New Roman"/>
              </w:rPr>
            </w:pPr>
          </w:p>
          <w:p w14:paraId="7BE7BC06"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Budući se kočiona sila prenosi na kotače isključivo mehaničkom vezom (najčešće kočionom sajlom), u slučaju njezinog puknuća vozilo u potpunosti gubi funkcionalnost kočenja, što je izrazito opasno naročito u situaciji kretanja na nizbrdici.</w:t>
            </w:r>
          </w:p>
          <w:p w14:paraId="0425250C"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Kočenjem samo stražnjih kotača, pri kretanju na nizbrdici učestalo može doći do blokiranja stražnjih kotača zbog pomicanja centra mase prema naprijed, što produljuje zaustavni put, naročito u uvjetima smanjenog koeficijenta prianjanja kao što je to slučaj kod mokrih ili orošenih kolnika.</w:t>
            </w:r>
          </w:p>
          <w:p w14:paraId="200B025F"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 xml:space="preserve">    U dokumentaciji nije navedeno da predmetno vozilo mora imati i ručnu parkirnu kočnicu što znatno otežava rukovanje/kretanje vozilom na uzbrdici.</w:t>
            </w:r>
          </w:p>
          <w:p w14:paraId="3C406D50" w14:textId="390FE46A" w:rsidR="00530FCF" w:rsidRPr="00530FCF" w:rsidRDefault="00530FCF" w:rsidP="00530FCF">
            <w:pPr>
              <w:rPr>
                <w:rFonts w:ascii="Times New Roman" w:hAnsi="Times New Roman" w:cs="Times New Roman"/>
              </w:rPr>
            </w:pPr>
          </w:p>
          <w:p w14:paraId="0EAE6F3B" w14:textId="77777777" w:rsidR="00530FCF" w:rsidRPr="00530FCF" w:rsidRDefault="00530FCF" w:rsidP="00530FCF">
            <w:pPr>
              <w:rPr>
                <w:rFonts w:ascii="Times New Roman" w:hAnsi="Times New Roman" w:cs="Times New Roman"/>
              </w:rPr>
            </w:pPr>
          </w:p>
          <w:p w14:paraId="54EDE3C1" w14:textId="77777777" w:rsidR="00530FCF" w:rsidRPr="00530FCF" w:rsidRDefault="00530FCF" w:rsidP="00530FCF">
            <w:pPr>
              <w:rPr>
                <w:rFonts w:ascii="Times New Roman" w:hAnsi="Times New Roman" w:cs="Times New Roman"/>
              </w:rPr>
            </w:pPr>
            <w:r w:rsidRPr="00530FCF">
              <w:rPr>
                <w:rFonts w:ascii="Times New Roman" w:hAnsi="Times New Roman" w:cs="Times New Roman"/>
              </w:rPr>
              <w:t>Prijedlog korekcije dokumentacije</w:t>
            </w:r>
          </w:p>
          <w:p w14:paraId="45473B3B" w14:textId="77777777" w:rsidR="00530FCF" w:rsidRPr="00530FCF" w:rsidRDefault="00530FCF" w:rsidP="00530FCF">
            <w:pPr>
              <w:rPr>
                <w:rFonts w:ascii="Times New Roman" w:hAnsi="Times New Roman" w:cs="Times New Roman"/>
              </w:rPr>
            </w:pPr>
          </w:p>
          <w:p w14:paraId="3E9CE98B" w14:textId="58B81149" w:rsidR="00530FCF" w:rsidRPr="00171039" w:rsidRDefault="00530FCF" w:rsidP="00530FCF">
            <w:pPr>
              <w:rPr>
                <w:rFonts w:ascii="Times New Roman" w:hAnsi="Times New Roman" w:cs="Times New Roman"/>
              </w:rPr>
            </w:pPr>
            <w:r w:rsidRPr="00530FCF">
              <w:rPr>
                <w:rFonts w:ascii="Times New Roman" w:hAnsi="Times New Roman" w:cs="Times New Roman"/>
              </w:rPr>
              <w:t xml:space="preserve">Kako bi se zajamčila maksimalna sigurnost putnika i vozača, predlaže se da se ova stavka izmijeni tako da glasi: „Kočioni sustav: Hidrauličke dvokružne kočnice, sprijeda disk, straga bubanj. Ručna parkirna kočnica“.  </w:t>
            </w:r>
          </w:p>
        </w:tc>
        <w:tc>
          <w:tcPr>
            <w:tcW w:w="4077" w:type="dxa"/>
          </w:tcPr>
          <w:p w14:paraId="214E3552" w14:textId="77777777" w:rsidR="00C07CB5" w:rsidRDefault="00C07CB5" w:rsidP="00C07CB5">
            <w:pPr>
              <w:rPr>
                <w:rFonts w:ascii="Times New Roman" w:hAnsi="Times New Roman" w:cs="Times New Roman"/>
              </w:rPr>
            </w:pPr>
          </w:p>
          <w:p w14:paraId="50605CC3" w14:textId="77777777" w:rsidR="00C07CB5" w:rsidRDefault="00C07CB5" w:rsidP="00C07CB5">
            <w:pPr>
              <w:rPr>
                <w:rFonts w:ascii="Times New Roman" w:hAnsi="Times New Roman" w:cs="Times New Roman"/>
              </w:rPr>
            </w:pPr>
            <w:r>
              <w:rPr>
                <w:rFonts w:ascii="Times New Roman" w:hAnsi="Times New Roman" w:cs="Times New Roman"/>
              </w:rPr>
              <w:t>Prijedlog se ne prihvaća.</w:t>
            </w:r>
          </w:p>
          <w:p w14:paraId="4C2AE765" w14:textId="77777777" w:rsidR="00C07CB5" w:rsidRDefault="00C07CB5" w:rsidP="00C07CB5">
            <w:pPr>
              <w:rPr>
                <w:rFonts w:ascii="Times New Roman" w:hAnsi="Times New Roman" w:cs="Times New Roman"/>
              </w:rPr>
            </w:pPr>
          </w:p>
          <w:p w14:paraId="1A0BFDC4" w14:textId="77777777" w:rsidR="00C07CB5" w:rsidRDefault="00C07CB5" w:rsidP="00C07CB5">
            <w:pPr>
              <w:rPr>
                <w:rFonts w:ascii="Times New Roman" w:hAnsi="Times New Roman" w:cs="Times New Roman"/>
              </w:rPr>
            </w:pPr>
            <w:r>
              <w:rPr>
                <w:rFonts w:ascii="Times New Roman" w:hAnsi="Times New Roman" w:cs="Times New Roman"/>
              </w:rPr>
              <w:t>Obrazloženje:</w:t>
            </w:r>
          </w:p>
          <w:p w14:paraId="24B86253" w14:textId="3244736C" w:rsidR="00530FCF" w:rsidRPr="00171039" w:rsidRDefault="00FA0F84" w:rsidP="00C11E0C">
            <w:pPr>
              <w:rPr>
                <w:rFonts w:ascii="Times New Roman" w:hAnsi="Times New Roman" w:cs="Times New Roman"/>
              </w:rPr>
            </w:pPr>
            <w:r>
              <w:rPr>
                <w:rFonts w:ascii="Times New Roman" w:hAnsi="Times New Roman" w:cs="Times New Roman"/>
              </w:rPr>
              <w:t xml:space="preserve">Prema Pravilniku o tehničkim uvjetima za turističko vozilo (NN 86/2015), turističko vozilo mora biti opremljeno parkirnom kočnicom te to nije potrebno navoditi. Isto </w:t>
            </w:r>
            <w:r w:rsidR="00C07CB5">
              <w:rPr>
                <w:rFonts w:ascii="Times New Roman" w:hAnsi="Times New Roman" w:cs="Times New Roman"/>
              </w:rPr>
              <w:t xml:space="preserve">Pravilnik navodi da vozilo </w:t>
            </w:r>
            <w:r>
              <w:rPr>
                <w:rFonts w:ascii="Times New Roman" w:hAnsi="Times New Roman" w:cs="Times New Roman"/>
              </w:rPr>
              <w:t xml:space="preserve">mora imati efikasan kočni sustav. </w:t>
            </w:r>
            <w:r w:rsidR="00C07CB5">
              <w:rPr>
                <w:rFonts w:ascii="Times New Roman" w:hAnsi="Times New Roman" w:cs="Times New Roman"/>
              </w:rPr>
              <w:t xml:space="preserve">Naručitelj je specificirao samo stražnje mehaničke kočnice, a </w:t>
            </w:r>
            <w:r w:rsidR="00C11E0C">
              <w:rPr>
                <w:rFonts w:ascii="Times New Roman" w:hAnsi="Times New Roman" w:cs="Times New Roman"/>
              </w:rPr>
              <w:t>Ponuditelju je ostavljena mogućnost da sam definira ostalo.</w:t>
            </w:r>
          </w:p>
        </w:tc>
      </w:tr>
    </w:tbl>
    <w:p w14:paraId="3EADF169" w14:textId="59131574" w:rsidR="00472AF2" w:rsidRPr="00171039" w:rsidRDefault="00472AF2" w:rsidP="0077467E">
      <w:pPr>
        <w:rPr>
          <w:rFonts w:ascii="Times New Roman" w:hAnsi="Times New Roman" w:cs="Times New Roman"/>
        </w:rPr>
      </w:pPr>
    </w:p>
    <w:sectPr w:rsidR="00472AF2" w:rsidRPr="00171039" w:rsidSect="00AA1821">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722A4"/>
    <w:rsid w:val="00105BC9"/>
    <w:rsid w:val="00162AA1"/>
    <w:rsid w:val="00171039"/>
    <w:rsid w:val="001809D0"/>
    <w:rsid w:val="001B6D8C"/>
    <w:rsid w:val="001E5BC2"/>
    <w:rsid w:val="001F68D9"/>
    <w:rsid w:val="00214748"/>
    <w:rsid w:val="00253143"/>
    <w:rsid w:val="002D0EDC"/>
    <w:rsid w:val="00307BFC"/>
    <w:rsid w:val="00332648"/>
    <w:rsid w:val="0034058B"/>
    <w:rsid w:val="003513DA"/>
    <w:rsid w:val="00370170"/>
    <w:rsid w:val="003B2DF1"/>
    <w:rsid w:val="00421E8F"/>
    <w:rsid w:val="00472AF2"/>
    <w:rsid w:val="0047630F"/>
    <w:rsid w:val="004A0F5F"/>
    <w:rsid w:val="004D3F26"/>
    <w:rsid w:val="00503EDE"/>
    <w:rsid w:val="00505E77"/>
    <w:rsid w:val="00512A15"/>
    <w:rsid w:val="00516340"/>
    <w:rsid w:val="0052157A"/>
    <w:rsid w:val="00530FCF"/>
    <w:rsid w:val="0053303F"/>
    <w:rsid w:val="0055023F"/>
    <w:rsid w:val="00574A0F"/>
    <w:rsid w:val="005E331E"/>
    <w:rsid w:val="00685022"/>
    <w:rsid w:val="006B026B"/>
    <w:rsid w:val="006F419E"/>
    <w:rsid w:val="0077467E"/>
    <w:rsid w:val="007F1BD1"/>
    <w:rsid w:val="007F65AD"/>
    <w:rsid w:val="0082388E"/>
    <w:rsid w:val="00884D64"/>
    <w:rsid w:val="009C2A0D"/>
    <w:rsid w:val="00A864F3"/>
    <w:rsid w:val="00A92B0D"/>
    <w:rsid w:val="00A93062"/>
    <w:rsid w:val="00A97147"/>
    <w:rsid w:val="00AA1821"/>
    <w:rsid w:val="00B21188"/>
    <w:rsid w:val="00B66C7D"/>
    <w:rsid w:val="00B875C8"/>
    <w:rsid w:val="00BB019E"/>
    <w:rsid w:val="00BB5B97"/>
    <w:rsid w:val="00BF4234"/>
    <w:rsid w:val="00C07CB5"/>
    <w:rsid w:val="00C11E0C"/>
    <w:rsid w:val="00C23296"/>
    <w:rsid w:val="00CB72C6"/>
    <w:rsid w:val="00CC2C4B"/>
    <w:rsid w:val="00CD3369"/>
    <w:rsid w:val="00CD58DB"/>
    <w:rsid w:val="00DE6D5D"/>
    <w:rsid w:val="00E641F7"/>
    <w:rsid w:val="00E73B51"/>
    <w:rsid w:val="00E752FF"/>
    <w:rsid w:val="00EA03A0"/>
    <w:rsid w:val="00EA7AF9"/>
    <w:rsid w:val="00EB1383"/>
    <w:rsid w:val="00EF3B04"/>
    <w:rsid w:val="00EF7A94"/>
    <w:rsid w:val="00F4087E"/>
    <w:rsid w:val="00FA0F84"/>
    <w:rsid w:val="00FA4839"/>
    <w:rsid w:val="00FB0D8F"/>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536426635">
      <w:bodyDiv w:val="1"/>
      <w:marLeft w:val="0"/>
      <w:marRight w:val="0"/>
      <w:marTop w:val="0"/>
      <w:marBottom w:val="0"/>
      <w:divBdr>
        <w:top w:val="none" w:sz="0" w:space="0" w:color="auto"/>
        <w:left w:val="none" w:sz="0" w:space="0" w:color="auto"/>
        <w:bottom w:val="none" w:sz="0" w:space="0" w:color="auto"/>
        <w:right w:val="none" w:sz="0" w:space="0" w:color="auto"/>
      </w:divBdr>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eb.zpr.fer.hr/ergonomija/2004/hendija/slike/grb_zg.gi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0AC5-C3B6-4394-B3E4-90291F6C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12767</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Kristina Vukadin</cp:lastModifiedBy>
  <cp:revision>3</cp:revision>
  <cp:lastPrinted>2017-10-27T05:57:00Z</cp:lastPrinted>
  <dcterms:created xsi:type="dcterms:W3CDTF">2017-11-03T09:09:00Z</dcterms:created>
  <dcterms:modified xsi:type="dcterms:W3CDTF">2017-11-03T09:13:00Z</dcterms:modified>
</cp:coreProperties>
</file>